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8787" w14:textId="3E0D20F9" w:rsidR="00922E23" w:rsidRPr="00922E23" w:rsidRDefault="00922E23" w:rsidP="00922E23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922E23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JOURN</w:t>
      </w:r>
      <w:r w:rsidR="00687E8B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É</w:t>
      </w:r>
      <w:r w:rsidRPr="00922E23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ES DERMATOLOGIQUES DE PARIS</w:t>
      </w:r>
    </w:p>
    <w:p w14:paraId="1B9C9F0E" w14:textId="77777777" w:rsidR="006468C7" w:rsidRPr="00922E23" w:rsidRDefault="006468C7" w:rsidP="006468C7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DU 30 NOVEMBRE AU 4 dÉcembre</w:t>
      </w:r>
      <w:r w:rsidRPr="00922E23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 xml:space="preserve"> 2</w:t>
      </w:r>
      <w:r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0</w:t>
      </w:r>
      <w:r w:rsidRPr="00922E23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21</w:t>
      </w:r>
    </w:p>
    <w:p w14:paraId="65F6AF84" w14:textId="77777777" w:rsidR="00922E23" w:rsidRPr="00922E23" w:rsidRDefault="00922E23" w:rsidP="00922E23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</w:p>
    <w:p w14:paraId="65E2B870" w14:textId="73184A07" w:rsidR="00A52ACF" w:rsidRPr="00922E23" w:rsidRDefault="00A52ACF" w:rsidP="00A52ACF">
      <w:pPr>
        <w:rPr>
          <w:rFonts w:ascii="Arial" w:hAnsi="Arial" w:cs="Arial"/>
          <w:b/>
          <w:bCs/>
          <w:sz w:val="24"/>
          <w:szCs w:val="24"/>
        </w:rPr>
      </w:pPr>
      <w:r w:rsidRPr="00922E23">
        <w:rPr>
          <w:rFonts w:ascii="Arial" w:hAnsi="Arial" w:cs="Arial"/>
          <w:b/>
          <w:bCs/>
          <w:sz w:val="24"/>
          <w:szCs w:val="24"/>
          <w:highlight w:val="yellow"/>
        </w:rPr>
        <w:t>ARTICLE</w:t>
      </w:r>
      <w:r w:rsidR="0001185A" w:rsidRPr="00922E23">
        <w:rPr>
          <w:rFonts w:ascii="Arial" w:hAnsi="Arial" w:cs="Arial"/>
          <w:b/>
          <w:bCs/>
          <w:sz w:val="24"/>
          <w:szCs w:val="24"/>
          <w:highlight w:val="yellow"/>
        </w:rPr>
        <w:t> </w:t>
      </w:r>
      <w:r w:rsidR="0047160C">
        <w:rPr>
          <w:rFonts w:ascii="Arial" w:hAnsi="Arial" w:cs="Arial"/>
          <w:b/>
          <w:bCs/>
          <w:sz w:val="24"/>
          <w:szCs w:val="24"/>
          <w:highlight w:val="yellow"/>
        </w:rPr>
        <w:t>9</w:t>
      </w:r>
      <w:r w:rsidR="00B33ED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22E23">
        <w:rPr>
          <w:rFonts w:ascii="Arial" w:hAnsi="Arial" w:cs="Arial"/>
          <w:b/>
          <w:bCs/>
          <w:sz w:val="24"/>
          <w:szCs w:val="24"/>
          <w:highlight w:val="yellow"/>
        </w:rPr>
        <w:t>FOCUS EN DERMATOLOGIE</w:t>
      </w:r>
    </w:p>
    <w:p w14:paraId="33996BB6" w14:textId="77777777" w:rsidR="002F6AC6" w:rsidRDefault="002F6AC6" w:rsidP="00A52ACF">
      <w:pPr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</w:p>
    <w:p w14:paraId="06F00FEB" w14:textId="77777777" w:rsidR="002F6AC6" w:rsidRDefault="002F6AC6" w:rsidP="00A52ACF">
      <w:pPr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</w:p>
    <w:p w14:paraId="748D1A45" w14:textId="1453B08F" w:rsidR="002F6AC6" w:rsidRDefault="0047160C" w:rsidP="00A52ACF">
      <w:pPr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MÉDECINE INTERNE</w:t>
      </w:r>
    </w:p>
    <w:p w14:paraId="62018BEF" w14:textId="77777777" w:rsidR="002F6AC6" w:rsidRDefault="002F6AC6" w:rsidP="00A52ACF">
      <w:pPr>
        <w:spacing w:after="0" w:line="240" w:lineRule="auto"/>
        <w:outlineLvl w:val="5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</w:p>
    <w:p w14:paraId="455AF312" w14:textId="1CB8489B" w:rsidR="00A52ACF" w:rsidRPr="00922E23" w:rsidRDefault="00A52ACF" w:rsidP="00A52ACF">
      <w:pPr>
        <w:spacing w:after="0" w:line="240" w:lineRule="auto"/>
        <w:outlineLvl w:val="5"/>
        <w:rPr>
          <w:rFonts w:ascii="Arial" w:eastAsia="Times New Roman" w:hAnsi="Arial" w:cs="Arial"/>
          <w:color w:val="006383"/>
          <w:sz w:val="24"/>
          <w:szCs w:val="24"/>
          <w:lang w:eastAsia="fr-FR"/>
        </w:rPr>
      </w:pPr>
      <w:r w:rsidRPr="00922E23">
        <w:rPr>
          <w:rFonts w:ascii="Arial" w:eastAsia="Times New Roman" w:hAnsi="Arial" w:cs="Arial"/>
          <w:color w:val="006383"/>
          <w:sz w:val="24"/>
          <w:szCs w:val="24"/>
          <w:lang w:eastAsia="fr-FR"/>
        </w:rPr>
        <w:t xml:space="preserve">Article rédigé par </w:t>
      </w:r>
      <w:r w:rsidR="003D2615">
        <w:rPr>
          <w:rFonts w:ascii="Arial" w:eastAsia="Times New Roman" w:hAnsi="Arial" w:cs="Arial"/>
          <w:color w:val="006383"/>
          <w:sz w:val="24"/>
          <w:szCs w:val="24"/>
          <w:lang w:eastAsia="fr-FR"/>
        </w:rPr>
        <w:t>Dr Laure BELLANGE.</w:t>
      </w:r>
    </w:p>
    <w:p w14:paraId="4B026933" w14:textId="77777777" w:rsidR="003D63E9" w:rsidRDefault="003D63E9" w:rsidP="00D0184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7B7C7F"/>
        </w:rPr>
      </w:pPr>
    </w:p>
    <w:p w14:paraId="1F92A722" w14:textId="0E6BF1E4" w:rsidR="00D0184A" w:rsidRPr="003D63E9" w:rsidRDefault="003D63E9" w:rsidP="00D018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D63E9">
        <w:rPr>
          <w:rFonts w:ascii="Arial" w:hAnsi="Arial" w:cs="Arial"/>
          <w:color w:val="000000" w:themeColor="text1"/>
        </w:rPr>
        <w:t xml:space="preserve">Des symptômes cutanés se retrouvent dans des pathologies vues en médecine interne. La typologie de ces symptômes peut conditionner la typologie de </w:t>
      </w:r>
      <w:r w:rsidR="00766B36">
        <w:rPr>
          <w:rFonts w:ascii="Arial" w:hAnsi="Arial" w:cs="Arial"/>
          <w:color w:val="000000" w:themeColor="text1"/>
        </w:rPr>
        <w:t>pr</w:t>
      </w:r>
      <w:r w:rsidRPr="003D63E9">
        <w:rPr>
          <w:rFonts w:ascii="Arial" w:hAnsi="Arial" w:cs="Arial"/>
          <w:color w:val="000000" w:themeColor="text1"/>
        </w:rPr>
        <w:t>ise en charge.</w:t>
      </w:r>
    </w:p>
    <w:p w14:paraId="180B3BD6" w14:textId="028C70D1" w:rsidR="00A52ACF" w:rsidRPr="00D16A8F" w:rsidRDefault="00A52ACF" w:rsidP="00147FD0">
      <w:pPr>
        <w:pStyle w:val="NormalWeb"/>
        <w:rPr>
          <w:rFonts w:ascii="Arial" w:hAnsi="Arial" w:cs="Arial"/>
          <w:i/>
          <w:iCs/>
          <w:color w:val="002060"/>
        </w:rPr>
      </w:pPr>
      <w:r w:rsidRPr="00D16A8F">
        <w:rPr>
          <w:rFonts w:ascii="Arial" w:hAnsi="Arial" w:cs="Arial"/>
          <w:i/>
          <w:iCs/>
          <w:color w:val="002060"/>
          <w:highlight w:val="green"/>
        </w:rPr>
        <w:t>Pour en savoir plus (lien sur le reste de l’article)</w:t>
      </w:r>
    </w:p>
    <w:p w14:paraId="6967B51E" w14:textId="779F21CD" w:rsidR="0047160C" w:rsidRDefault="0047160C" w:rsidP="002F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TRAITEMENT DES ÉRYTHÈMES ANNULAIRES À ÉOSINOPHILES</w:t>
      </w:r>
      <w:r w:rsidR="003D63E9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 </w:t>
      </w: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: UNE ÉTUDE DE COHORTE MULTICENTRIQUE ET REVUE SYSTÉMATIQUE DE LA LITTÉRATURE</w:t>
      </w:r>
    </w:p>
    <w:p w14:paraId="32ED3568" w14:textId="77777777" w:rsidR="0047160C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 xml:space="preserve">Marine </w:t>
      </w:r>
      <w:proofErr w:type="spellStart"/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>Chastagner</w:t>
      </w:r>
      <w:proofErr w:type="spellEnd"/>
    </w:p>
    <w:p w14:paraId="501F85CD" w14:textId="77777777" w:rsidR="0047160C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</w:p>
    <w:p w14:paraId="495B83C3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L’érythème annulaire à éosinophiles est rare. Il a parfois été décrit comme forme satellite de cancers solides. Sa prise en charge actuelle est mal codifiée.</w:t>
      </w:r>
    </w:p>
    <w:p w14:paraId="56DAAB07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Une étude rétrospective multicentrique a été réalisée pour proposer une meilleure prise en charge thérapeutique de cette maladie.</w:t>
      </w:r>
    </w:p>
    <w:p w14:paraId="142E9E78" w14:textId="7A89AD69" w:rsidR="002F6AC6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131 séquences thérapeutiques ont été analysées. Les corticoïdes locaux et systémiques, l’hydroxychloroquine et la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dapsone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sont les médicaments les plus utilisés. Il appara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î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t que quand les corticoïdes locaux sont inefficaces, il convient d’utiliser l’hydroxychloroquine. En seconde intention, si résistance au traitement, il est possible d’utiliser la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dapsone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>, ou l’association hydroxychloroquine et corticoïdes systémiques. En cas d’échec de ces traitements, il est possible d’envisager des biothérapies.</w:t>
      </w:r>
    </w:p>
    <w:p w14:paraId="27DF6BAE" w14:textId="4132B379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22BA04" w14:textId="7DAF1F47" w:rsidR="0047160C" w:rsidRDefault="0047160C" w:rsidP="002F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FASCIITES À ÉOSINOPHILES INDUITES PAR LES MÉDICAMENTS</w:t>
      </w:r>
      <w:r w:rsidR="003D63E9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 </w:t>
      </w: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: DOUBLE ANALYSE DE PHARMACOVIGILANCE</w:t>
      </w:r>
    </w:p>
    <w:p w14:paraId="05B2F8E9" w14:textId="646E56BD" w:rsidR="002F6AC6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>Alexandre Teboul</w:t>
      </w:r>
    </w:p>
    <w:p w14:paraId="309F473A" w14:textId="77777777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</w:p>
    <w:p w14:paraId="734A19EB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La fasciite à éosinophile est rare et mal caractérisée. Les hypothèses étiologiques et physiopathologiques restent discutées. De nombreux médicaments seraient en cause.</w:t>
      </w:r>
    </w:p>
    <w:p w14:paraId="7CD14D52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Une analyse de cas de la base de données de l’OMS,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Vigibase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et la pharmacovigilance française a pour but d’étudier les caractéristiques des fasciites à éosinophiles induites par les médicaments.</w:t>
      </w:r>
    </w:p>
    <w:p w14:paraId="049033DC" w14:textId="6818EF22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101 cas ont été inclus. Sur 85 médicaments imputables au départ, 6 ont montré une association significative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: les inhibiteurs de checkpoint, les statines, les vaccins, les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bi</w:t>
      </w:r>
      <w:r w:rsidR="00E033DA">
        <w:rPr>
          <w:rFonts w:ascii="Arial" w:hAnsi="Arial" w:cs="Arial"/>
          <w:color w:val="000000" w:themeColor="text1"/>
          <w:sz w:val="24"/>
          <w:szCs w:val="24"/>
        </w:rPr>
        <w:t>s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>phosphonates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>, les inhibiteurs de la pompe à protons et les agonistes dopaminergiques.</w:t>
      </w:r>
    </w:p>
    <w:p w14:paraId="2B223625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lastRenderedPageBreak/>
        <w:t>Dans les cas liés aux médicaments, les atteintes de la tête et du cou paraissent plus importantes. L’hyperéosinophilie est aussi plus marquée que dans les autres fasciites à éosinophiles.</w:t>
      </w:r>
    </w:p>
    <w:p w14:paraId="17A6A2EA" w14:textId="5A83FE42" w:rsidR="002F6AC6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Devant une fasciite à éosinophiles, il convient d’évoquer les autres étiologies et ne pas s’arrêter au traitement que prend le patient.</w:t>
      </w:r>
    </w:p>
    <w:p w14:paraId="0B174928" w14:textId="175E483E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AAB58E" w14:textId="74667D67" w:rsidR="0047160C" w:rsidRDefault="0047160C" w:rsidP="002F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ANGIO-ŒDÈMES CHEZ DES PATIENTS SOUS ANTAGONISTES DES RÉCEPTEURS DE L’ANGIOTENSINE 2, UN SUIVI AU LONG COURS</w:t>
      </w:r>
      <w:r w:rsidR="003D63E9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 </w:t>
      </w: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: ÉTUDE MULTICENTRIQUE NATIONALE FRANÇAISE</w:t>
      </w:r>
    </w:p>
    <w:p w14:paraId="28F14266" w14:textId="7D0136F2" w:rsidR="002F6AC6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>Estelle Charvet</w:t>
      </w:r>
    </w:p>
    <w:p w14:paraId="32A5D59B" w14:textId="77777777" w:rsidR="0047160C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</w:p>
    <w:p w14:paraId="454B249A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Un traitement par antagoniste des récepteurs de l’angiotensine 2 (ARA II) peut être responsable d’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angio-œdème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bradykinique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>. Peuvent aussi survenir des œdèmes histaminiques avec ce traitement. Il faut distinguer les deux, la prise en charge n’étant pas la même.</w:t>
      </w:r>
    </w:p>
    <w:p w14:paraId="6EC7F831" w14:textId="0ECE8F48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Une étude observationnelle rétrospective multicentrique a évalué les caractéristiques cliniques et thérapeutiques d’une cohorte de patients suspects d’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angio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-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>œdème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bradykinique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sous ARA II.</w:t>
      </w:r>
    </w:p>
    <w:p w14:paraId="08895E40" w14:textId="1AA621B3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55 patients ont été inclus. Dans 55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des cas, le diagnostic d’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angio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-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>œdème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bradykinique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a été posé.</w:t>
      </w:r>
    </w:p>
    <w:p w14:paraId="4B33ED46" w14:textId="18F166D7" w:rsidR="002F6AC6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Les facteurs évoquant plutôt un œdème histaminique sont la récidive et des lésions urticariennes associées. Dans ce cas, la poursuite du traitement par ARA II sera possible.</w:t>
      </w:r>
    </w:p>
    <w:p w14:paraId="5410A522" w14:textId="1D9BEBE2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B5117A" w14:textId="1A6C16AB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C981CA" w14:textId="77777777" w:rsidR="0047160C" w:rsidRDefault="0047160C" w:rsidP="002F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</w:pPr>
      <w:r w:rsidRPr="0047160C">
        <w:rPr>
          <w:rFonts w:ascii="Arial" w:eastAsia="Times New Roman" w:hAnsi="Arial" w:cs="Arial"/>
          <w:b/>
          <w:bCs/>
          <w:caps/>
          <w:color w:val="006383"/>
          <w:sz w:val="24"/>
          <w:szCs w:val="24"/>
          <w:lang w:eastAsia="fr-FR"/>
        </w:rPr>
        <w:t>RÔLE DE LA RECHERCHE DE LA MUTATION KIT CUTANÉE POUR LE DIAGNOSTIC DE MASTOCYTOSE</w:t>
      </w:r>
    </w:p>
    <w:p w14:paraId="23F0DEB4" w14:textId="5110F18D" w:rsidR="002F6AC6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 xml:space="preserve">Mohammed </w:t>
      </w:r>
      <w:proofErr w:type="spellStart"/>
      <w:r w:rsidRPr="0047160C"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  <w:t>Alkhamees</w:t>
      </w:r>
      <w:proofErr w:type="spellEnd"/>
    </w:p>
    <w:p w14:paraId="120F83B8" w14:textId="77777777" w:rsidR="0047160C" w:rsidRDefault="0047160C" w:rsidP="002F6AC6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F4E79" w:themeColor="accent5" w:themeShade="80"/>
          <w:shd w:val="clear" w:color="auto" w:fill="FFFFFF"/>
        </w:rPr>
      </w:pPr>
    </w:p>
    <w:p w14:paraId="26F7165E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Pour conclure au diagnostic de mastocytose cutanée, il faut associer un critère majeur clinique, et un critère mineur paraclinique. La recherche de la mutation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ckit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est un de ces critères paracliniques. Cette mutation est un facteur de risque de mastocytose systémique.</w:t>
      </w:r>
    </w:p>
    <w:p w14:paraId="7021E2D2" w14:textId="77777777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Une étude rétrospective a voulu comparer la prévalence de ce critère mineur à l’autre, qui est l’infiltrat mastocytaire dermique monomorphe révélé par immunohistochimie.</w:t>
      </w:r>
    </w:p>
    <w:p w14:paraId="5F0787DA" w14:textId="1DB827D1" w:rsidR="0047160C" w:rsidRPr="0047160C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202 patients ont été inclus, majoritairement des femmes, avec un âge moyen de 32 ans. 47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des patients ont eu une positivité pour les deux marqueurs. 39,6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ont eu la positivité de la mutation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ckit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seule. 5,9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ont eu l’autre critère seul. La sensibilité et 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spécificité de la mutation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ckit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son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>t de 95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dans le diagnostic de mastocytose systémique, contre 60</w:t>
      </w:r>
      <w:r w:rsidR="003D63E9">
        <w:rPr>
          <w:rFonts w:ascii="Arial" w:hAnsi="Arial" w:cs="Arial"/>
          <w:color w:val="000000" w:themeColor="text1"/>
          <w:sz w:val="24"/>
          <w:szCs w:val="24"/>
        </w:rPr>
        <w:t> %</w:t>
      </w: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pour l’autre critère.</w:t>
      </w:r>
    </w:p>
    <w:p w14:paraId="4BF478C1" w14:textId="3EF38FE3" w:rsidR="002F6AC6" w:rsidRDefault="0047160C" w:rsidP="0047160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La recherche de la mutation </w:t>
      </w:r>
      <w:proofErr w:type="spellStart"/>
      <w:r w:rsidRPr="0047160C">
        <w:rPr>
          <w:rFonts w:ascii="Arial" w:hAnsi="Arial" w:cs="Arial"/>
          <w:color w:val="000000" w:themeColor="text1"/>
          <w:sz w:val="24"/>
          <w:szCs w:val="24"/>
        </w:rPr>
        <w:t>ckit</w:t>
      </w:r>
      <w:proofErr w:type="spellEnd"/>
      <w:r w:rsidRPr="0047160C">
        <w:rPr>
          <w:rFonts w:ascii="Arial" w:hAnsi="Arial" w:cs="Arial"/>
          <w:color w:val="000000" w:themeColor="text1"/>
          <w:sz w:val="24"/>
          <w:szCs w:val="24"/>
        </w:rPr>
        <w:t xml:space="preserve"> est donc importante pour le diagnostic de mastocytose cutanée et de mastocytose systémique.</w:t>
      </w:r>
    </w:p>
    <w:p w14:paraId="318415FA" w14:textId="77777777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100E43" w14:textId="77777777" w:rsidR="002F6AC6" w:rsidRDefault="002F6AC6" w:rsidP="002F6AC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79A1F5" w14:textId="334BE153" w:rsidR="0001185A" w:rsidRPr="00922E23" w:rsidRDefault="0001185A" w:rsidP="002F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lang w:eastAsia="fr-FR"/>
        </w:rPr>
      </w:pPr>
      <w:r w:rsidRPr="00922E2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lang w:eastAsia="fr-FR"/>
        </w:rPr>
        <w:t>Messages clé</w:t>
      </w:r>
      <w:r w:rsidR="00853166" w:rsidRPr="00922E2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lang w:eastAsia="fr-FR"/>
        </w:rPr>
        <w:t>s</w:t>
      </w:r>
      <w:r w:rsidRPr="00922E2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lang w:eastAsia="fr-FR"/>
        </w:rPr>
        <w:t> :</w:t>
      </w:r>
    </w:p>
    <w:p w14:paraId="3883EF73" w14:textId="6A6FA097" w:rsidR="0047160C" w:rsidRPr="0047160C" w:rsidRDefault="003D63E9" w:rsidP="0047160C">
      <w:pPr>
        <w:pStyle w:val="Titre2"/>
        <w:numPr>
          <w:ilvl w:val="0"/>
          <w:numId w:val="47"/>
        </w:numPr>
        <w:spacing w:after="150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</w:t>
      </w:r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evant une mastocytose cutanée, demander la recherche de la mutation c-kit.</w:t>
      </w:r>
    </w:p>
    <w:p w14:paraId="0B96BD01" w14:textId="058CBF2A" w:rsidR="004647A2" w:rsidRDefault="003D63E9" w:rsidP="0047160C">
      <w:pPr>
        <w:pStyle w:val="Titre2"/>
        <w:numPr>
          <w:ilvl w:val="0"/>
          <w:numId w:val="47"/>
        </w:numPr>
        <w:spacing w:before="0" w:beforeAutospacing="0" w:after="150" w:afterAutospacing="0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</w:t>
      </w:r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evant une suspicion d’</w:t>
      </w:r>
      <w:proofErr w:type="spellStart"/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angio</w:t>
      </w:r>
      <w: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œdème</w:t>
      </w:r>
      <w:proofErr w:type="spellEnd"/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bradykinique</w:t>
      </w:r>
      <w:proofErr w:type="spellEnd"/>
      <w:r w:rsidR="0047160C" w:rsidRPr="0047160C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penser à regarder l’ordonnance du patient</w:t>
      </w:r>
    </w:p>
    <w:p w14:paraId="431F4C6B" w14:textId="5640EB43" w:rsidR="0047160C" w:rsidRDefault="0047160C" w:rsidP="0047160C">
      <w:pPr>
        <w:pStyle w:val="Titre2"/>
        <w:spacing w:before="0" w:beforeAutospacing="0" w:after="150" w:afterAutospacing="0"/>
        <w:rPr>
          <w:rFonts w:ascii="Arial" w:hAnsi="Arial" w:cs="Arial"/>
          <w:color w:val="006383"/>
          <w:sz w:val="24"/>
          <w:szCs w:val="24"/>
        </w:rPr>
      </w:pPr>
    </w:p>
    <w:p w14:paraId="138E559D" w14:textId="77777777" w:rsidR="0047160C" w:rsidRPr="00922E23" w:rsidRDefault="0047160C" w:rsidP="0047160C">
      <w:pPr>
        <w:pStyle w:val="Titre2"/>
        <w:spacing w:before="0" w:beforeAutospacing="0" w:after="150" w:afterAutospacing="0"/>
        <w:rPr>
          <w:rFonts w:ascii="Arial" w:hAnsi="Arial" w:cs="Arial"/>
          <w:color w:val="006383"/>
          <w:sz w:val="24"/>
          <w:szCs w:val="24"/>
        </w:rPr>
      </w:pPr>
    </w:p>
    <w:p w14:paraId="2DE6F2F8" w14:textId="77DF235C" w:rsidR="00C1548F" w:rsidRDefault="00443537" w:rsidP="00C1548F">
      <w:pPr>
        <w:pStyle w:val="Titre2"/>
        <w:spacing w:before="0" w:beforeAutospacing="0" w:after="150" w:afterAutospacing="0"/>
        <w:rPr>
          <w:rFonts w:ascii="Arial" w:hAnsi="Arial" w:cs="Arial"/>
          <w:b w:val="0"/>
          <w:bCs w:val="0"/>
          <w:color w:val="707070"/>
          <w:sz w:val="24"/>
          <w:szCs w:val="24"/>
        </w:rPr>
      </w:pPr>
      <w:r w:rsidRPr="00922E23">
        <w:rPr>
          <w:rFonts w:ascii="Arial" w:hAnsi="Arial" w:cs="Arial"/>
          <w:color w:val="006383"/>
          <w:sz w:val="24"/>
          <w:szCs w:val="24"/>
        </w:rPr>
        <w:t>QUIZ DE FORMATION :</w:t>
      </w:r>
    </w:p>
    <w:p w14:paraId="3B8827FF" w14:textId="784305F8" w:rsidR="0047160C" w:rsidRPr="0047160C" w:rsidRDefault="0047160C" w:rsidP="0047160C">
      <w:pPr>
        <w:pStyle w:val="Titre2"/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Devant un œdème isolé de la face chez un patient, quel examen penser à demander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?</w:t>
      </w:r>
    </w:p>
    <w:p w14:paraId="717333E8" w14:textId="255B1F14" w:rsidR="0047160C" w:rsidRPr="0047160C" w:rsidRDefault="003D63E9" w:rsidP="0047160C">
      <w:pPr>
        <w:pStyle w:val="Titre2"/>
        <w:numPr>
          <w:ilvl w:val="0"/>
          <w:numId w:val="45"/>
        </w:numPr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 dosage du C1 inhibiteur</w:t>
      </w:r>
      <w:r w:rsidR="00A722D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3C758AC8" w14:textId="00D5CE61" w:rsidR="0047160C" w:rsidRPr="0047160C" w:rsidRDefault="003D63E9" w:rsidP="0047160C">
      <w:pPr>
        <w:pStyle w:val="Titre2"/>
        <w:numPr>
          <w:ilvl w:val="0"/>
          <w:numId w:val="45"/>
        </w:numPr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 fonction rénale</w:t>
      </w:r>
      <w:r w:rsidR="00A722D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0459F074" w14:textId="5EB92BE5" w:rsidR="0047160C" w:rsidRPr="0047160C" w:rsidRDefault="003D63E9" w:rsidP="0047160C">
      <w:pPr>
        <w:pStyle w:val="Titre2"/>
        <w:numPr>
          <w:ilvl w:val="0"/>
          <w:numId w:val="45"/>
        </w:numPr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ne tryptase basale</w:t>
      </w:r>
      <w:r w:rsidR="00A722D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096A44CC" w14:textId="77777777" w:rsidR="0047160C" w:rsidRPr="0047160C" w:rsidRDefault="0047160C" w:rsidP="0047160C">
      <w:pPr>
        <w:pStyle w:val="Titre2"/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CDDF17E" w14:textId="341044E5" w:rsidR="0047160C" w:rsidRPr="0047160C" w:rsidRDefault="0047160C" w:rsidP="0047160C">
      <w:pPr>
        <w:pStyle w:val="Titre2"/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Que différencie une mastocytose d’un syndrome d’activation mastocytaire</w:t>
      </w:r>
      <w:r w:rsidR="003D63E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</w:t>
      </w: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?</w:t>
      </w:r>
    </w:p>
    <w:p w14:paraId="79864F21" w14:textId="7AF7B4BA" w:rsidR="0047160C" w:rsidRPr="0047160C" w:rsidRDefault="003D63E9" w:rsidP="0047160C">
      <w:pPr>
        <w:pStyle w:val="Titre2"/>
        <w:numPr>
          <w:ilvl w:val="0"/>
          <w:numId w:val="46"/>
        </w:numPr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 localisation des lésions.</w:t>
      </w:r>
    </w:p>
    <w:p w14:paraId="30969575" w14:textId="3FE8B26C" w:rsidR="0047160C" w:rsidRPr="0047160C" w:rsidRDefault="003D63E9" w:rsidP="0047160C">
      <w:pPr>
        <w:pStyle w:val="Titre2"/>
        <w:numPr>
          <w:ilvl w:val="0"/>
          <w:numId w:val="46"/>
        </w:numPr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 réponse au traitement par antihistaminiques.</w:t>
      </w:r>
    </w:p>
    <w:p w14:paraId="1FEF039F" w14:textId="1F6AC94C" w:rsidR="0047160C" w:rsidRPr="0047160C" w:rsidRDefault="00A722DB" w:rsidP="0047160C">
      <w:pPr>
        <w:pStyle w:val="Titre2"/>
        <w:numPr>
          <w:ilvl w:val="0"/>
          <w:numId w:val="46"/>
        </w:numPr>
        <w:spacing w:after="150"/>
        <w:rPr>
          <w:rFonts w:ascii="Arial" w:hAnsi="Arial" w:cs="Arial"/>
          <w:color w:val="006383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</w:t>
      </w:r>
      <w:r w:rsidR="0047160C"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’élévation de la tryptase basale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</w:p>
    <w:p w14:paraId="22EC3D15" w14:textId="2F6A9C97" w:rsidR="00A52ACF" w:rsidRPr="0047160C" w:rsidRDefault="00A52ACF" w:rsidP="0047160C">
      <w:pPr>
        <w:pStyle w:val="Titre2"/>
        <w:spacing w:after="150"/>
        <w:rPr>
          <w:rFonts w:ascii="Arial" w:hAnsi="Arial" w:cs="Arial"/>
          <w:color w:val="006383"/>
          <w:sz w:val="24"/>
          <w:szCs w:val="24"/>
        </w:rPr>
      </w:pPr>
      <w:r w:rsidRPr="0047160C">
        <w:rPr>
          <w:rFonts w:ascii="Arial" w:hAnsi="Arial" w:cs="Arial"/>
          <w:color w:val="006383"/>
          <w:sz w:val="24"/>
          <w:szCs w:val="24"/>
        </w:rPr>
        <w:t>RÉPONSES :</w:t>
      </w:r>
    </w:p>
    <w:p w14:paraId="4946F74C" w14:textId="77777777" w:rsidR="0047160C" w:rsidRPr="0047160C" w:rsidRDefault="0047160C" w:rsidP="0047160C">
      <w:pPr>
        <w:pStyle w:val="Titre2"/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Devant un œdème isolé de la face chez un patient, quel examen penser à demander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?</w:t>
      </w:r>
    </w:p>
    <w:p w14:paraId="7445EC2F" w14:textId="69A91B77" w:rsidR="0047160C" w:rsidRPr="0047160C" w:rsidRDefault="0047160C" w:rsidP="0047160C">
      <w:pPr>
        <w:pStyle w:val="Titre2"/>
        <w:numPr>
          <w:ilvl w:val="0"/>
          <w:numId w:val="45"/>
        </w:num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Un dosage du C1 inhibiteur</w:t>
      </w:r>
    </w:p>
    <w:p w14:paraId="3982C255" w14:textId="1A6F48E0" w:rsidR="0047160C" w:rsidRPr="0047160C" w:rsidRDefault="0047160C" w:rsidP="0047160C">
      <w:pPr>
        <w:pStyle w:val="Titre2"/>
        <w:spacing w:after="15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Que différencie une mastocytose d’un syndrome d’activation mastocytaire</w:t>
      </w:r>
      <w:r w:rsidR="003D63E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</w:t>
      </w:r>
      <w:r w:rsidRPr="004716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?</w:t>
      </w:r>
    </w:p>
    <w:p w14:paraId="2C84AB7D" w14:textId="3F003A7D" w:rsidR="00FA728B" w:rsidRPr="0047160C" w:rsidRDefault="0047160C" w:rsidP="000F1244">
      <w:pPr>
        <w:pStyle w:val="Titre2"/>
        <w:numPr>
          <w:ilvl w:val="0"/>
          <w:numId w:val="46"/>
        </w:numPr>
        <w:spacing w:after="150"/>
        <w:rPr>
          <w:rFonts w:ascii="Arial" w:hAnsi="Arial" w:cs="Arial"/>
          <w:sz w:val="24"/>
          <w:szCs w:val="24"/>
        </w:rPr>
      </w:pPr>
      <w:r w:rsidRPr="0047160C">
        <w:rPr>
          <w:rFonts w:ascii="Arial" w:hAnsi="Arial" w:cs="Arial"/>
          <w:color w:val="000000" w:themeColor="text1"/>
          <w:sz w:val="24"/>
          <w:szCs w:val="24"/>
        </w:rPr>
        <w:t>L’élévation de la tryptase basale</w:t>
      </w:r>
    </w:p>
    <w:sectPr w:rsidR="00FA728B" w:rsidRPr="0047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480"/>
    <w:multiLevelType w:val="hybridMultilevel"/>
    <w:tmpl w:val="23DC2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4FF"/>
    <w:multiLevelType w:val="hybridMultilevel"/>
    <w:tmpl w:val="D952CD18"/>
    <w:lvl w:ilvl="0" w:tplc="8654DC10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53C"/>
    <w:multiLevelType w:val="hybridMultilevel"/>
    <w:tmpl w:val="5928C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1A03"/>
    <w:multiLevelType w:val="hybridMultilevel"/>
    <w:tmpl w:val="5BE6F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68AF"/>
    <w:multiLevelType w:val="multilevel"/>
    <w:tmpl w:val="BACCB6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3785"/>
    <w:multiLevelType w:val="hybridMultilevel"/>
    <w:tmpl w:val="490A8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6602F"/>
    <w:multiLevelType w:val="hybridMultilevel"/>
    <w:tmpl w:val="3A0C4DEA"/>
    <w:lvl w:ilvl="0" w:tplc="279A8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7541"/>
    <w:multiLevelType w:val="multilevel"/>
    <w:tmpl w:val="F99C6DDC"/>
    <w:lvl w:ilvl="0">
      <w:numFmt w:val="bullet"/>
      <w:lvlText w:val="-"/>
      <w:lvlJc w:val="left"/>
      <w:pPr>
        <w:ind w:left="43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0" w:hanging="360"/>
      </w:pPr>
      <w:rPr>
        <w:rFonts w:ascii="Wingdings" w:hAnsi="Wingdings"/>
      </w:rPr>
    </w:lvl>
  </w:abstractNum>
  <w:abstractNum w:abstractNumId="8" w15:restartNumberingAfterBreak="0">
    <w:nsid w:val="14577ADF"/>
    <w:multiLevelType w:val="hybridMultilevel"/>
    <w:tmpl w:val="ED2AF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6EA7"/>
    <w:multiLevelType w:val="multilevel"/>
    <w:tmpl w:val="BACCB6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1D6C"/>
    <w:multiLevelType w:val="hybridMultilevel"/>
    <w:tmpl w:val="CE926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03D"/>
    <w:multiLevelType w:val="multilevel"/>
    <w:tmpl w:val="134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C341DD"/>
    <w:multiLevelType w:val="hybridMultilevel"/>
    <w:tmpl w:val="EBB8B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7D72"/>
    <w:multiLevelType w:val="hybridMultilevel"/>
    <w:tmpl w:val="AE269724"/>
    <w:lvl w:ilvl="0" w:tplc="697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C1B"/>
    <w:multiLevelType w:val="hybridMultilevel"/>
    <w:tmpl w:val="DBCCB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1C2"/>
    <w:multiLevelType w:val="hybridMultilevel"/>
    <w:tmpl w:val="AA62D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E448F"/>
    <w:multiLevelType w:val="hybridMultilevel"/>
    <w:tmpl w:val="E110B202"/>
    <w:lvl w:ilvl="0" w:tplc="782E0E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04990"/>
    <w:multiLevelType w:val="multilevel"/>
    <w:tmpl w:val="BACCB6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23852"/>
    <w:multiLevelType w:val="hybridMultilevel"/>
    <w:tmpl w:val="4D8AFAEC"/>
    <w:lvl w:ilvl="0" w:tplc="8D34AD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80572"/>
    <w:multiLevelType w:val="hybridMultilevel"/>
    <w:tmpl w:val="0F020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10574"/>
    <w:multiLevelType w:val="hybridMultilevel"/>
    <w:tmpl w:val="BB5EBF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193B95"/>
    <w:multiLevelType w:val="hybridMultilevel"/>
    <w:tmpl w:val="FD707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F3130"/>
    <w:multiLevelType w:val="hybridMultilevel"/>
    <w:tmpl w:val="532C2A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23FE3"/>
    <w:multiLevelType w:val="multilevel"/>
    <w:tmpl w:val="5038C7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C3011"/>
    <w:multiLevelType w:val="hybridMultilevel"/>
    <w:tmpl w:val="5F8E1D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557D01"/>
    <w:multiLevelType w:val="hybridMultilevel"/>
    <w:tmpl w:val="07941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C6FF9"/>
    <w:multiLevelType w:val="hybridMultilevel"/>
    <w:tmpl w:val="90020296"/>
    <w:lvl w:ilvl="0" w:tplc="FFF2A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37AD4"/>
    <w:multiLevelType w:val="hybridMultilevel"/>
    <w:tmpl w:val="EDD24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F435F"/>
    <w:multiLevelType w:val="hybridMultilevel"/>
    <w:tmpl w:val="B2E45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70B9C"/>
    <w:multiLevelType w:val="hybridMultilevel"/>
    <w:tmpl w:val="3C0C0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62970"/>
    <w:multiLevelType w:val="hybridMultilevel"/>
    <w:tmpl w:val="D4264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449D0"/>
    <w:multiLevelType w:val="hybridMultilevel"/>
    <w:tmpl w:val="5602F6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861F9"/>
    <w:multiLevelType w:val="hybridMultilevel"/>
    <w:tmpl w:val="8C6C9052"/>
    <w:lvl w:ilvl="0" w:tplc="697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A5082"/>
    <w:multiLevelType w:val="hybridMultilevel"/>
    <w:tmpl w:val="9EDA8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61D1C"/>
    <w:multiLevelType w:val="hybridMultilevel"/>
    <w:tmpl w:val="C1A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36FC3"/>
    <w:multiLevelType w:val="hybridMultilevel"/>
    <w:tmpl w:val="A19C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5408"/>
    <w:multiLevelType w:val="multilevel"/>
    <w:tmpl w:val="BACCB6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B298A"/>
    <w:multiLevelType w:val="hybridMultilevel"/>
    <w:tmpl w:val="3508BB2E"/>
    <w:lvl w:ilvl="0" w:tplc="5CA6E300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500B1"/>
    <w:multiLevelType w:val="hybridMultilevel"/>
    <w:tmpl w:val="5296A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76120"/>
    <w:multiLevelType w:val="hybridMultilevel"/>
    <w:tmpl w:val="50B0CA6C"/>
    <w:lvl w:ilvl="0" w:tplc="EFAE8E4A">
      <w:numFmt w:val="bullet"/>
      <w:lvlText w:val="-"/>
      <w:lvlJc w:val="left"/>
      <w:pPr>
        <w:ind w:left="1070" w:hanging="360"/>
      </w:pPr>
      <w:rPr>
        <w:rFonts w:ascii="montserratregular" w:eastAsia="Times New Roman" w:hAnsi="montserrat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C40348F"/>
    <w:multiLevelType w:val="hybridMultilevel"/>
    <w:tmpl w:val="0510A7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6765F9"/>
    <w:multiLevelType w:val="hybridMultilevel"/>
    <w:tmpl w:val="A5228B0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B81828"/>
    <w:multiLevelType w:val="hybridMultilevel"/>
    <w:tmpl w:val="39BEA6A6"/>
    <w:lvl w:ilvl="0" w:tplc="90CED0A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C44BD"/>
    <w:multiLevelType w:val="hybridMultilevel"/>
    <w:tmpl w:val="7FCE9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43C8"/>
    <w:multiLevelType w:val="hybridMultilevel"/>
    <w:tmpl w:val="A07A0A16"/>
    <w:lvl w:ilvl="0" w:tplc="47AC279A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C6F6B"/>
    <w:multiLevelType w:val="hybridMultilevel"/>
    <w:tmpl w:val="0A7C7950"/>
    <w:lvl w:ilvl="0" w:tplc="E57C46F2">
      <w:start w:val="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EC52869"/>
    <w:multiLevelType w:val="hybridMultilevel"/>
    <w:tmpl w:val="9FB8D684"/>
    <w:lvl w:ilvl="0" w:tplc="782E0E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31"/>
  </w:num>
  <w:num w:numId="5">
    <w:abstractNumId w:val="7"/>
  </w:num>
  <w:num w:numId="6">
    <w:abstractNumId w:val="23"/>
  </w:num>
  <w:num w:numId="7">
    <w:abstractNumId w:val="4"/>
  </w:num>
  <w:num w:numId="8">
    <w:abstractNumId w:val="43"/>
  </w:num>
  <w:num w:numId="9">
    <w:abstractNumId w:val="41"/>
  </w:num>
  <w:num w:numId="10">
    <w:abstractNumId w:val="45"/>
  </w:num>
  <w:num w:numId="11">
    <w:abstractNumId w:val="18"/>
  </w:num>
  <w:num w:numId="12">
    <w:abstractNumId w:val="42"/>
  </w:num>
  <w:num w:numId="13">
    <w:abstractNumId w:val="17"/>
  </w:num>
  <w:num w:numId="14">
    <w:abstractNumId w:val="36"/>
  </w:num>
  <w:num w:numId="15">
    <w:abstractNumId w:val="30"/>
  </w:num>
  <w:num w:numId="16">
    <w:abstractNumId w:val="32"/>
  </w:num>
  <w:num w:numId="17">
    <w:abstractNumId w:val="13"/>
  </w:num>
  <w:num w:numId="18">
    <w:abstractNumId w:val="5"/>
  </w:num>
  <w:num w:numId="19">
    <w:abstractNumId w:val="9"/>
  </w:num>
  <w:num w:numId="20">
    <w:abstractNumId w:val="16"/>
  </w:num>
  <w:num w:numId="21">
    <w:abstractNumId w:val="25"/>
  </w:num>
  <w:num w:numId="22">
    <w:abstractNumId w:val="28"/>
  </w:num>
  <w:num w:numId="23">
    <w:abstractNumId w:val="46"/>
  </w:num>
  <w:num w:numId="24">
    <w:abstractNumId w:val="26"/>
  </w:num>
  <w:num w:numId="25">
    <w:abstractNumId w:val="37"/>
  </w:num>
  <w:num w:numId="26">
    <w:abstractNumId w:val="2"/>
  </w:num>
  <w:num w:numId="27">
    <w:abstractNumId w:val="44"/>
  </w:num>
  <w:num w:numId="28">
    <w:abstractNumId w:val="3"/>
  </w:num>
  <w:num w:numId="29">
    <w:abstractNumId w:val="40"/>
  </w:num>
  <w:num w:numId="30">
    <w:abstractNumId w:val="21"/>
  </w:num>
  <w:num w:numId="31">
    <w:abstractNumId w:val="29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4"/>
  </w:num>
  <w:num w:numId="37">
    <w:abstractNumId w:val="8"/>
  </w:num>
  <w:num w:numId="38">
    <w:abstractNumId w:val="24"/>
  </w:num>
  <w:num w:numId="39">
    <w:abstractNumId w:val="22"/>
  </w:num>
  <w:num w:numId="40">
    <w:abstractNumId w:val="20"/>
  </w:num>
  <w:num w:numId="41">
    <w:abstractNumId w:val="33"/>
  </w:num>
  <w:num w:numId="42">
    <w:abstractNumId w:val="10"/>
  </w:num>
  <w:num w:numId="43">
    <w:abstractNumId w:val="19"/>
  </w:num>
  <w:num w:numId="44">
    <w:abstractNumId w:val="38"/>
  </w:num>
  <w:num w:numId="45">
    <w:abstractNumId w:val="15"/>
  </w:num>
  <w:num w:numId="46">
    <w:abstractNumId w:val="3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0B"/>
    <w:rsid w:val="00005BC9"/>
    <w:rsid w:val="000070F5"/>
    <w:rsid w:val="0001185A"/>
    <w:rsid w:val="00042B23"/>
    <w:rsid w:val="00043176"/>
    <w:rsid w:val="000932CC"/>
    <w:rsid w:val="000C6950"/>
    <w:rsid w:val="00114F71"/>
    <w:rsid w:val="0013282E"/>
    <w:rsid w:val="00147FD0"/>
    <w:rsid w:val="001A3410"/>
    <w:rsid w:val="001B158E"/>
    <w:rsid w:val="001B3132"/>
    <w:rsid w:val="001F657D"/>
    <w:rsid w:val="001F6EEB"/>
    <w:rsid w:val="002227FE"/>
    <w:rsid w:val="00234011"/>
    <w:rsid w:val="00257539"/>
    <w:rsid w:val="002657C3"/>
    <w:rsid w:val="00266495"/>
    <w:rsid w:val="00274D2C"/>
    <w:rsid w:val="002D2EBB"/>
    <w:rsid w:val="002F6AC6"/>
    <w:rsid w:val="0031076B"/>
    <w:rsid w:val="00316F2B"/>
    <w:rsid w:val="00340C94"/>
    <w:rsid w:val="003456A9"/>
    <w:rsid w:val="00390DB0"/>
    <w:rsid w:val="003972B3"/>
    <w:rsid w:val="00397D35"/>
    <w:rsid w:val="003A2F51"/>
    <w:rsid w:val="003B6FB5"/>
    <w:rsid w:val="003D2615"/>
    <w:rsid w:val="003D564C"/>
    <w:rsid w:val="003D63E9"/>
    <w:rsid w:val="00416B6B"/>
    <w:rsid w:val="004312C6"/>
    <w:rsid w:val="00443537"/>
    <w:rsid w:val="004647A2"/>
    <w:rsid w:val="0047160C"/>
    <w:rsid w:val="00485F8D"/>
    <w:rsid w:val="004A669C"/>
    <w:rsid w:val="004C4416"/>
    <w:rsid w:val="00502EBD"/>
    <w:rsid w:val="00554F47"/>
    <w:rsid w:val="005777A6"/>
    <w:rsid w:val="005B49A9"/>
    <w:rsid w:val="00604F5C"/>
    <w:rsid w:val="00610575"/>
    <w:rsid w:val="00611DA6"/>
    <w:rsid w:val="006348A7"/>
    <w:rsid w:val="006468C7"/>
    <w:rsid w:val="006876E5"/>
    <w:rsid w:val="00687E8B"/>
    <w:rsid w:val="00692DA0"/>
    <w:rsid w:val="006B692D"/>
    <w:rsid w:val="006D3E9F"/>
    <w:rsid w:val="006E013C"/>
    <w:rsid w:val="006F07DC"/>
    <w:rsid w:val="00711519"/>
    <w:rsid w:val="00744324"/>
    <w:rsid w:val="00750247"/>
    <w:rsid w:val="007621F0"/>
    <w:rsid w:val="00764D65"/>
    <w:rsid w:val="00766B36"/>
    <w:rsid w:val="0077662B"/>
    <w:rsid w:val="00796CC1"/>
    <w:rsid w:val="007C1FB3"/>
    <w:rsid w:val="007F547A"/>
    <w:rsid w:val="008248A9"/>
    <w:rsid w:val="00853166"/>
    <w:rsid w:val="008627B4"/>
    <w:rsid w:val="00887C2A"/>
    <w:rsid w:val="008913A7"/>
    <w:rsid w:val="00894861"/>
    <w:rsid w:val="008B55BC"/>
    <w:rsid w:val="008D4F0B"/>
    <w:rsid w:val="008F7F74"/>
    <w:rsid w:val="00914259"/>
    <w:rsid w:val="00922E23"/>
    <w:rsid w:val="00951A82"/>
    <w:rsid w:val="009D7F62"/>
    <w:rsid w:val="00A21F28"/>
    <w:rsid w:val="00A45311"/>
    <w:rsid w:val="00A46F92"/>
    <w:rsid w:val="00A52ACF"/>
    <w:rsid w:val="00A6313A"/>
    <w:rsid w:val="00A722DB"/>
    <w:rsid w:val="00A76962"/>
    <w:rsid w:val="00AA61D1"/>
    <w:rsid w:val="00AC6030"/>
    <w:rsid w:val="00AF2F24"/>
    <w:rsid w:val="00B1625A"/>
    <w:rsid w:val="00B26292"/>
    <w:rsid w:val="00B2651B"/>
    <w:rsid w:val="00B33EDB"/>
    <w:rsid w:val="00B43058"/>
    <w:rsid w:val="00B47920"/>
    <w:rsid w:val="00BC4416"/>
    <w:rsid w:val="00BF345F"/>
    <w:rsid w:val="00BF38E9"/>
    <w:rsid w:val="00C146E2"/>
    <w:rsid w:val="00C1548F"/>
    <w:rsid w:val="00C32609"/>
    <w:rsid w:val="00C43DA8"/>
    <w:rsid w:val="00C44F16"/>
    <w:rsid w:val="00C61C06"/>
    <w:rsid w:val="00C629D6"/>
    <w:rsid w:val="00C9550C"/>
    <w:rsid w:val="00CA53F3"/>
    <w:rsid w:val="00CB2BF1"/>
    <w:rsid w:val="00CB30C4"/>
    <w:rsid w:val="00CB6A02"/>
    <w:rsid w:val="00D0184A"/>
    <w:rsid w:val="00D01D31"/>
    <w:rsid w:val="00D028C6"/>
    <w:rsid w:val="00D1116B"/>
    <w:rsid w:val="00D16A8F"/>
    <w:rsid w:val="00D762B6"/>
    <w:rsid w:val="00D86167"/>
    <w:rsid w:val="00DB5B15"/>
    <w:rsid w:val="00E033DA"/>
    <w:rsid w:val="00E06AD3"/>
    <w:rsid w:val="00E20F59"/>
    <w:rsid w:val="00E21A71"/>
    <w:rsid w:val="00E648F9"/>
    <w:rsid w:val="00E735B3"/>
    <w:rsid w:val="00E9060B"/>
    <w:rsid w:val="00EA06B3"/>
    <w:rsid w:val="00EA2B8A"/>
    <w:rsid w:val="00EB7603"/>
    <w:rsid w:val="00EB7A8F"/>
    <w:rsid w:val="00EE1ACA"/>
    <w:rsid w:val="00EE2C72"/>
    <w:rsid w:val="00F17C7A"/>
    <w:rsid w:val="00F24B39"/>
    <w:rsid w:val="00F449D1"/>
    <w:rsid w:val="00F56B74"/>
    <w:rsid w:val="00F81448"/>
    <w:rsid w:val="00FA728B"/>
    <w:rsid w:val="00FC756B"/>
    <w:rsid w:val="00FF203A"/>
    <w:rsid w:val="00FF278F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1049"/>
  <w15:chartTrackingRefBased/>
  <w15:docId w15:val="{52BCF754-E909-5A4F-905B-7D3AB5E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4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01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4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D018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018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0184A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184A"/>
    <w:rPr>
      <w:b/>
      <w:bCs/>
    </w:rPr>
  </w:style>
  <w:style w:type="character" w:styleId="Accentuation">
    <w:name w:val="Emphasis"/>
    <w:basedOn w:val="Policepardfaut"/>
    <w:uiPriority w:val="20"/>
    <w:qFormat/>
    <w:rsid w:val="00D0184A"/>
    <w:rPr>
      <w:i/>
      <w:iCs/>
    </w:rPr>
  </w:style>
  <w:style w:type="paragraph" w:styleId="Sansinterligne">
    <w:name w:val="No Spacing"/>
    <w:uiPriority w:val="1"/>
    <w:qFormat/>
    <w:rsid w:val="00316F2B"/>
    <w:pPr>
      <w:spacing w:after="0" w:line="240" w:lineRule="auto"/>
    </w:pPr>
  </w:style>
  <w:style w:type="paragraph" w:customStyle="1" w:styleId="m-2550029265854690541msolistparagraph">
    <w:name w:val="m_-2550029265854690541msolistparagraph"/>
    <w:basedOn w:val="Normal"/>
    <w:rsid w:val="00FF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7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4D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l-align-justify">
    <w:name w:val="ql-align-justify"/>
    <w:basedOn w:val="Normal"/>
    <w:rsid w:val="0077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50247"/>
    <w:rPr>
      <w:color w:val="808080"/>
    </w:rPr>
  </w:style>
  <w:style w:type="paragraph" w:styleId="Paragraphedeliste">
    <w:name w:val="List Paragraph"/>
    <w:basedOn w:val="Normal"/>
    <w:uiPriority w:val="34"/>
    <w:qFormat/>
    <w:rsid w:val="00F56B74"/>
    <w:pPr>
      <w:ind w:left="720"/>
      <w:contextualSpacing/>
    </w:pPr>
  </w:style>
  <w:style w:type="paragraph" w:customStyle="1" w:styleId="mdw-212">
    <w:name w:val="md:w-2/12"/>
    <w:basedOn w:val="Normal"/>
    <w:rsid w:val="009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BARTHELEMY Florence</cp:lastModifiedBy>
  <cp:revision>2</cp:revision>
  <cp:lastPrinted>2021-10-25T08:10:00Z</cp:lastPrinted>
  <dcterms:created xsi:type="dcterms:W3CDTF">2021-12-09T17:07:00Z</dcterms:created>
  <dcterms:modified xsi:type="dcterms:W3CDTF">2021-12-09T17:07:00Z</dcterms:modified>
</cp:coreProperties>
</file>