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8CC5" w14:textId="6801629B" w:rsidR="00DC6E2D" w:rsidRDefault="00DC6E2D" w:rsidP="00DC6E2D">
      <w:pPr>
        <w:jc w:val="center"/>
        <w:rPr>
          <w:rFonts w:ascii="Bryant-Naos Bold" w:hAnsi="Bryant-Naos Bold"/>
          <w:b/>
          <w:bCs/>
          <w:color w:val="004F88"/>
          <w:sz w:val="52"/>
          <w:szCs w:val="52"/>
        </w:rPr>
      </w:pPr>
      <w:r>
        <w:rPr>
          <w:noProof/>
        </w:rPr>
        <w:drawing>
          <wp:inline distT="0" distB="0" distL="0" distR="0" wp14:anchorId="17D4C922" wp14:editId="3DF70248">
            <wp:extent cx="5759450" cy="1139825"/>
            <wp:effectExtent l="0" t="0" r="0" b="3175"/>
            <wp:docPr id="119667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1139825"/>
                    </a:xfrm>
                    <a:prstGeom prst="rect">
                      <a:avLst/>
                    </a:prstGeom>
                    <a:noFill/>
                    <a:ln>
                      <a:noFill/>
                    </a:ln>
                  </pic:spPr>
                </pic:pic>
              </a:graphicData>
            </a:graphic>
          </wp:inline>
        </w:drawing>
      </w:r>
      <w:r w:rsidRPr="00DC6E2D">
        <w:rPr>
          <w:rFonts w:ascii="Bryant-Naos Bold" w:hAnsi="Bryant-Naos Bold"/>
          <w:b/>
          <w:bCs/>
          <w:color w:val="004F88"/>
          <w:sz w:val="52"/>
          <w:szCs w:val="52"/>
        </w:rPr>
        <w:t>Journée nationale multidisciplinaire de formation sur le prurit 2026</w:t>
      </w:r>
    </w:p>
    <w:p w14:paraId="4396D028" w14:textId="7FAB8150" w:rsidR="00BB0D12" w:rsidRDefault="00DC6E2D" w:rsidP="00DC6E2D">
      <w:pPr>
        <w:rPr>
          <w:rFonts w:ascii="Bryant-Naos" w:hAnsi="Bryant-Naos"/>
          <w:color w:val="595959" w:themeColor="text1" w:themeTint="A6"/>
          <w:sz w:val="22"/>
          <w:szCs w:val="22"/>
        </w:rPr>
      </w:pPr>
      <w:r w:rsidRPr="00BB0D12">
        <w:rPr>
          <w:rFonts w:ascii="Bryant-Naos" w:hAnsi="Bryant-Naos"/>
          <w:color w:val="595959" w:themeColor="text1" w:themeTint="A6"/>
          <w:sz w:val="22"/>
          <w:szCs w:val="22"/>
        </w:rPr>
        <w:t>Comptes rendus rédigés par Victoire DEJEAN, Interne en dermatologie, HEH Lyon.</w:t>
      </w:r>
    </w:p>
    <w:p w14:paraId="4361D73E" w14:textId="77777777" w:rsidR="00BB0D12" w:rsidRPr="00BB0D12" w:rsidRDefault="00BB0D12" w:rsidP="00DC6E2D">
      <w:pPr>
        <w:rPr>
          <w:rFonts w:ascii="Bryant-Naos" w:hAnsi="Bryant-Naos"/>
          <w:color w:val="595959" w:themeColor="text1" w:themeTint="A6"/>
          <w:sz w:val="22"/>
          <w:szCs w:val="22"/>
        </w:rPr>
      </w:pPr>
    </w:p>
    <w:p w14:paraId="6FB00EAA" w14:textId="2B610202" w:rsidR="00DC6E2D" w:rsidRPr="00DC6E2D" w:rsidRDefault="00DC6E2D" w:rsidP="00DC6E2D">
      <w:pPr>
        <w:rPr>
          <w:rFonts w:ascii="Bryant-Naos Bold" w:hAnsi="Bryant-Naos Bold"/>
          <w:b/>
          <w:bCs/>
          <w:color w:val="004F88"/>
          <w:sz w:val="52"/>
          <w:szCs w:val="52"/>
        </w:rPr>
      </w:pPr>
      <w:r w:rsidRPr="00DC6E2D">
        <w:rPr>
          <w:rFonts w:ascii="Bryant-Naos Bold" w:hAnsi="Bryant-Naos Bold"/>
          <w:b/>
          <w:bCs/>
          <w:color w:val="004F88"/>
          <w:sz w:val="52"/>
          <w:szCs w:val="52"/>
        </w:rPr>
        <w:t>BILAN DU PRURIT</w:t>
      </w:r>
    </w:p>
    <w:p w14:paraId="502F7B0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Intervenant : Serge Boulinguez</w:t>
      </w:r>
    </w:p>
    <w:p w14:paraId="4890A61F"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L'évaluation diagnostique d'un prurit repose sur un interrogatoire complet et ciblé associé à un</w:t>
      </w:r>
      <w:r w:rsidRPr="00DC6E2D">
        <w:rPr>
          <w:rFonts w:ascii="Bryant-Naos" w:hAnsi="Bryant-Naos"/>
          <w:color w:val="595959" w:themeColor="text1" w:themeTint="A6"/>
          <w:sz w:val="22"/>
          <w:szCs w:val="22"/>
        </w:rPr>
        <w:br/>
        <w:t>examen clinique poussé et si nécessaire un bilan biologique et radiologique.</w:t>
      </w:r>
      <w:r w:rsidRPr="00DC6E2D">
        <w:rPr>
          <w:rFonts w:ascii="Bryant-Naos" w:hAnsi="Bryant-Naos"/>
          <w:color w:val="595959" w:themeColor="text1" w:themeTint="A6"/>
          <w:sz w:val="22"/>
          <w:szCs w:val="22"/>
        </w:rPr>
        <w:br/>
        <w:t xml:space="preserve">L’interrogatoire est primordial. La chronologie du prurit oriente le diagnostic. Un prurit évoluant depuis plus de 6 semaines définit le caractère chronique. L'horaire de survenue est particulièrement évocateur : une recrudescence vespérale suggère une cholestase ou un lymphome de Hodgkin, tandis qu'une prédominance hivernale évoque une </w:t>
      </w:r>
      <w:proofErr w:type="spellStart"/>
      <w:r w:rsidRPr="00DC6E2D">
        <w:rPr>
          <w:rFonts w:ascii="Bryant-Naos" w:hAnsi="Bryant-Naos"/>
          <w:color w:val="595959" w:themeColor="text1" w:themeTint="A6"/>
          <w:sz w:val="22"/>
          <w:szCs w:val="22"/>
        </w:rPr>
        <w:t>xérose</w:t>
      </w:r>
      <w:proofErr w:type="spellEnd"/>
      <w:r w:rsidRPr="00DC6E2D">
        <w:rPr>
          <w:rFonts w:ascii="Bryant-Naos" w:hAnsi="Bryant-Naos"/>
          <w:color w:val="595959" w:themeColor="text1" w:themeTint="A6"/>
          <w:sz w:val="22"/>
          <w:szCs w:val="22"/>
        </w:rPr>
        <w:t xml:space="preserve">. Le profil évolutif apporte également des informations cruciales : un prurit intermittent oriente vers une urticaire, un caractère paroxystique suggère une origine neurologique centrale, tandis qu'une symptomatologie continue évoque une pathologie néoplasique ou systémique. La localisation du prurit possède une valeur sémiologique majeure. Un prurit localisé peut révéler des neuropathies spécifiques : </w:t>
      </w:r>
      <w:proofErr w:type="spellStart"/>
      <w:r w:rsidRPr="00DC6E2D">
        <w:rPr>
          <w:rFonts w:ascii="Bryant-Naos" w:hAnsi="Bryant-Naos"/>
          <w:color w:val="595959" w:themeColor="text1" w:themeTint="A6"/>
          <w:sz w:val="22"/>
          <w:szCs w:val="22"/>
        </w:rPr>
        <w:t>notalgie</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paresthésique</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cheiralgie</w:t>
      </w:r>
      <w:proofErr w:type="spellEnd"/>
      <w:r w:rsidRPr="00DC6E2D">
        <w:rPr>
          <w:rFonts w:ascii="Bryant-Naos" w:hAnsi="Bryant-Naos"/>
          <w:color w:val="595959" w:themeColor="text1" w:themeTint="A6"/>
          <w:sz w:val="22"/>
          <w:szCs w:val="22"/>
        </w:rPr>
        <w:t xml:space="preserve"> (C6, pouce), méralgie (L2-L3), prurit </w:t>
      </w:r>
      <w:proofErr w:type="spellStart"/>
      <w:r w:rsidRPr="00DC6E2D">
        <w:rPr>
          <w:rFonts w:ascii="Bryant-Naos" w:hAnsi="Bryant-Naos"/>
          <w:color w:val="595959" w:themeColor="text1" w:themeTint="A6"/>
          <w:sz w:val="22"/>
          <w:szCs w:val="22"/>
        </w:rPr>
        <w:t>brachio-radial</w:t>
      </w:r>
      <w:proofErr w:type="spellEnd"/>
      <w:r w:rsidRPr="00DC6E2D">
        <w:rPr>
          <w:rFonts w:ascii="Bryant-Naos" w:hAnsi="Bryant-Naos"/>
          <w:color w:val="595959" w:themeColor="text1" w:themeTint="A6"/>
          <w:sz w:val="22"/>
          <w:szCs w:val="22"/>
        </w:rPr>
        <w:t xml:space="preserve">, ou atteinte unilatérale du cuir chevelu (C2-C3). Les membres inférieurs orientent vers une insuffisance rénale chronique ou un lymphome de Hodgkin. Une localisation au milieu du dos suggère également une insuffisance rénale chronique. L'atteinte palmoplantaire est évocatrice d'une cholestase. Le cuir chevelu peut témoigner d'une origine psychogène, tandis qu'une localisation génitale évoque un diabète, une carence martiale ou une origine psychogène. Une distribution en gants et chaussettes oriente vers une neuropathie des petites fibres. Les facteurs déclenchants doivent être systématiquement recherchés : prurit </w:t>
      </w:r>
      <w:proofErr w:type="spellStart"/>
      <w:r w:rsidRPr="00DC6E2D">
        <w:rPr>
          <w:rFonts w:ascii="Bryant-Naos" w:hAnsi="Bryant-Naos"/>
          <w:color w:val="595959" w:themeColor="text1" w:themeTint="A6"/>
          <w:sz w:val="22"/>
          <w:szCs w:val="22"/>
        </w:rPr>
        <w:t>aquagénique</w:t>
      </w:r>
      <w:proofErr w:type="spellEnd"/>
      <w:r w:rsidRPr="00DC6E2D">
        <w:rPr>
          <w:rFonts w:ascii="Bryant-Naos" w:hAnsi="Bryant-Naos"/>
          <w:color w:val="595959" w:themeColor="text1" w:themeTint="A6"/>
          <w:sz w:val="22"/>
          <w:szCs w:val="22"/>
        </w:rPr>
        <w:t>, influence de la température, du stress, ou de l'effort (urticaire cholinergique ou chronique). L'interrogatoire explore les antécédents médicaux (lésions cutanées, voyages, exposition animale, profession, addictions), la présence de signes généraux ou d'altération de l'état général, et le contexte psychologique.</w:t>
      </w:r>
    </w:p>
    <w:p w14:paraId="7041CB86"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Les pathologies systémiques à évoquer incluent : dysthyroïdie, </w:t>
      </w:r>
      <w:proofErr w:type="spellStart"/>
      <w:r w:rsidRPr="00DC6E2D">
        <w:rPr>
          <w:rFonts w:ascii="Bryant-Naos" w:hAnsi="Bryant-Naos"/>
          <w:color w:val="595959" w:themeColor="text1" w:themeTint="A6"/>
          <w:sz w:val="22"/>
          <w:szCs w:val="22"/>
        </w:rPr>
        <w:t>dysparathyroïdie</w:t>
      </w:r>
      <w:proofErr w:type="spellEnd"/>
      <w:r w:rsidRPr="00DC6E2D">
        <w:rPr>
          <w:rFonts w:ascii="Bryant-Naos" w:hAnsi="Bryant-Naos"/>
          <w:color w:val="595959" w:themeColor="text1" w:themeTint="A6"/>
          <w:sz w:val="22"/>
          <w:szCs w:val="22"/>
        </w:rPr>
        <w:t xml:space="preserve">, diabète, insuffisance rénale chronique, cholestase, infection VIH, parasitoses, hépatites virales, </w:t>
      </w:r>
      <w:r w:rsidRPr="00DC6E2D">
        <w:rPr>
          <w:rFonts w:ascii="Bryant-Naos" w:hAnsi="Bryant-Naos"/>
          <w:color w:val="595959" w:themeColor="text1" w:themeTint="A6"/>
          <w:sz w:val="22"/>
          <w:szCs w:val="22"/>
        </w:rPr>
        <w:lastRenderedPageBreak/>
        <w:t xml:space="preserve">hémopathies, sclérose en plaques. Les traitements en cours, notamment morphiniques, et les thérapeutiques déjà essayées doivent être documentés. La notion de contage infectieux ou de rapports sexuels à risque peut orienter vers une </w:t>
      </w:r>
      <w:proofErr w:type="spellStart"/>
      <w:r w:rsidRPr="00DC6E2D">
        <w:rPr>
          <w:rFonts w:ascii="Bryant-Naos" w:hAnsi="Bryant-Naos"/>
          <w:color w:val="595959" w:themeColor="text1" w:themeTint="A6"/>
          <w:sz w:val="22"/>
          <w:szCs w:val="22"/>
        </w:rPr>
        <w:t>cheyletiellose</w:t>
      </w:r>
      <w:proofErr w:type="spellEnd"/>
      <w:r w:rsidRPr="00DC6E2D">
        <w:rPr>
          <w:rFonts w:ascii="Bryant-Naos" w:hAnsi="Bryant-Naos"/>
          <w:color w:val="595959" w:themeColor="text1" w:themeTint="A6"/>
          <w:sz w:val="22"/>
          <w:szCs w:val="22"/>
        </w:rPr>
        <w:t xml:space="preserve"> (acariens du chien ou chat) ou une infection sexuellement transmissible.</w:t>
      </w:r>
    </w:p>
    <w:p w14:paraId="2729D2D6"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w:t>
      </w:r>
    </w:p>
    <w:p w14:paraId="0A8A18AA"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L'évaluation diagnostique d'un prurit repose sur un interrogatoire complet et ciblé associé à un</w:t>
      </w:r>
      <w:r w:rsidRPr="00DC6E2D">
        <w:rPr>
          <w:rFonts w:ascii="Bryant-Naos" w:hAnsi="Bryant-Naos"/>
          <w:color w:val="595959" w:themeColor="text1" w:themeTint="A6"/>
          <w:sz w:val="22"/>
          <w:szCs w:val="22"/>
        </w:rPr>
        <w:br/>
        <w:t>examen clinique poussé et si nécessaire un bilan biologique et radiologique.</w:t>
      </w:r>
      <w:r w:rsidRPr="00DC6E2D">
        <w:rPr>
          <w:rFonts w:ascii="Bryant-Naos" w:hAnsi="Bryant-Naos"/>
          <w:color w:val="595959" w:themeColor="text1" w:themeTint="A6"/>
          <w:sz w:val="22"/>
          <w:szCs w:val="22"/>
        </w:rPr>
        <w:br/>
        <w:t xml:space="preserve">L’interrogatoire est primordial. La chronologie du prurit oriente le diagnostic. Un prurit évoluant depuis plus de 6 semaines définit le caractère chronique. L'horaire de survenue est particulièrement évocateur : une recrudescence vespérale suggère une cholestase ou un lymphome de Hodgkin, tandis qu'une prédominance hivernale évoque une </w:t>
      </w:r>
      <w:proofErr w:type="spellStart"/>
      <w:r w:rsidRPr="00DC6E2D">
        <w:rPr>
          <w:rFonts w:ascii="Bryant-Naos" w:hAnsi="Bryant-Naos"/>
          <w:color w:val="595959" w:themeColor="text1" w:themeTint="A6"/>
          <w:sz w:val="22"/>
          <w:szCs w:val="22"/>
        </w:rPr>
        <w:t>xérose</w:t>
      </w:r>
      <w:proofErr w:type="spellEnd"/>
      <w:r w:rsidRPr="00DC6E2D">
        <w:rPr>
          <w:rFonts w:ascii="Bryant-Naos" w:hAnsi="Bryant-Naos"/>
          <w:color w:val="595959" w:themeColor="text1" w:themeTint="A6"/>
          <w:sz w:val="22"/>
          <w:szCs w:val="22"/>
        </w:rPr>
        <w:t xml:space="preserve">. Le profil évolutif apporte également des informations cruciales : un prurit intermittent oriente vers une urticaire, un caractère paroxystique suggère une origine neurologique centrale, tandis qu'une symptomatologie continue évoque une pathologie néoplasique ou systémique. La localisation du prurit possède une valeur sémiologique majeure. Un prurit localisé peut révéler des neuropathies spécifiques : </w:t>
      </w:r>
      <w:proofErr w:type="spellStart"/>
      <w:r w:rsidRPr="00DC6E2D">
        <w:rPr>
          <w:rFonts w:ascii="Bryant-Naos" w:hAnsi="Bryant-Naos"/>
          <w:color w:val="595959" w:themeColor="text1" w:themeTint="A6"/>
          <w:sz w:val="22"/>
          <w:szCs w:val="22"/>
        </w:rPr>
        <w:t>notalgie</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paresthésique</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cheiralgie</w:t>
      </w:r>
      <w:proofErr w:type="spellEnd"/>
      <w:r w:rsidRPr="00DC6E2D">
        <w:rPr>
          <w:rFonts w:ascii="Bryant-Naos" w:hAnsi="Bryant-Naos"/>
          <w:color w:val="595959" w:themeColor="text1" w:themeTint="A6"/>
          <w:sz w:val="22"/>
          <w:szCs w:val="22"/>
        </w:rPr>
        <w:t xml:space="preserve"> (C6, pouce), méralgie (L2-L3), prurit </w:t>
      </w:r>
      <w:proofErr w:type="spellStart"/>
      <w:r w:rsidRPr="00DC6E2D">
        <w:rPr>
          <w:rFonts w:ascii="Bryant-Naos" w:hAnsi="Bryant-Naos"/>
          <w:color w:val="595959" w:themeColor="text1" w:themeTint="A6"/>
          <w:sz w:val="22"/>
          <w:szCs w:val="22"/>
        </w:rPr>
        <w:t>brachio-radial</w:t>
      </w:r>
      <w:proofErr w:type="spellEnd"/>
      <w:r w:rsidRPr="00DC6E2D">
        <w:rPr>
          <w:rFonts w:ascii="Bryant-Naos" w:hAnsi="Bryant-Naos"/>
          <w:color w:val="595959" w:themeColor="text1" w:themeTint="A6"/>
          <w:sz w:val="22"/>
          <w:szCs w:val="22"/>
        </w:rPr>
        <w:t xml:space="preserve">, ou atteinte unilatérale du cuir chevelu (C2-C3). Les membres inférieurs orientent vers une insuffisance rénale chronique ou un lymphome de Hodgkin. Une localisation au milieu du dos suggère également une insuffisance rénale chronique. L'atteinte palmoplantaire est évocatrice d'une cholestase. Le cuir chevelu peut témoigner d'une origine psychogène, tandis qu'une localisation génitale évoque un diabète, une carence martiale ou une origine psychogène. Une distribution en gants et chaussettes oriente vers une neuropathie des petites fibres. Les facteurs déclenchants doivent être systématiquement recherchés : prurit </w:t>
      </w:r>
      <w:proofErr w:type="spellStart"/>
      <w:r w:rsidRPr="00DC6E2D">
        <w:rPr>
          <w:rFonts w:ascii="Bryant-Naos" w:hAnsi="Bryant-Naos"/>
          <w:color w:val="595959" w:themeColor="text1" w:themeTint="A6"/>
          <w:sz w:val="22"/>
          <w:szCs w:val="22"/>
        </w:rPr>
        <w:t>aquagénique</w:t>
      </w:r>
      <w:proofErr w:type="spellEnd"/>
      <w:r w:rsidRPr="00DC6E2D">
        <w:rPr>
          <w:rFonts w:ascii="Bryant-Naos" w:hAnsi="Bryant-Naos"/>
          <w:color w:val="595959" w:themeColor="text1" w:themeTint="A6"/>
          <w:sz w:val="22"/>
          <w:szCs w:val="22"/>
        </w:rPr>
        <w:t>, influence de la température, du stress, ou de l'effort (urticaire cholinergique ou chronique). L'interrogatoire explore les antécédents médicaux (lésions cutanées, voyages, exposition animale, profession, addictions), la présence de signes généraux ou d'altération de l'état général, et le contexte psychologique.</w:t>
      </w:r>
    </w:p>
    <w:p w14:paraId="6EE0D8B8"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Les pathologies systémiques à évoquer incluent : dysthyroïdie, </w:t>
      </w:r>
      <w:proofErr w:type="spellStart"/>
      <w:r w:rsidRPr="00DC6E2D">
        <w:rPr>
          <w:rFonts w:ascii="Bryant-Naos" w:hAnsi="Bryant-Naos"/>
          <w:color w:val="595959" w:themeColor="text1" w:themeTint="A6"/>
          <w:sz w:val="22"/>
          <w:szCs w:val="22"/>
        </w:rPr>
        <w:t>dysparathyroïdie</w:t>
      </w:r>
      <w:proofErr w:type="spellEnd"/>
      <w:r w:rsidRPr="00DC6E2D">
        <w:rPr>
          <w:rFonts w:ascii="Bryant-Naos" w:hAnsi="Bryant-Naos"/>
          <w:color w:val="595959" w:themeColor="text1" w:themeTint="A6"/>
          <w:sz w:val="22"/>
          <w:szCs w:val="22"/>
        </w:rPr>
        <w:t xml:space="preserve">, diabète, insuffisance rénale chronique, cholestase, infection VIH, parasitoses, hépatites virales, hémopathies, sclérose en plaques. Les traitements en cours, notamment morphiniques, et les thérapeutiques déjà essayées doivent être documentés. La notion de contage infectieux ou de rapports sexuels à risque peut orienter vers une </w:t>
      </w:r>
      <w:proofErr w:type="spellStart"/>
      <w:r w:rsidRPr="00DC6E2D">
        <w:rPr>
          <w:rFonts w:ascii="Bryant-Naos" w:hAnsi="Bryant-Naos"/>
          <w:color w:val="595959" w:themeColor="text1" w:themeTint="A6"/>
          <w:sz w:val="22"/>
          <w:szCs w:val="22"/>
        </w:rPr>
        <w:t>cheyletiellose</w:t>
      </w:r>
      <w:proofErr w:type="spellEnd"/>
      <w:r w:rsidRPr="00DC6E2D">
        <w:rPr>
          <w:rFonts w:ascii="Bryant-Naos" w:hAnsi="Bryant-Naos"/>
          <w:color w:val="595959" w:themeColor="text1" w:themeTint="A6"/>
          <w:sz w:val="22"/>
          <w:szCs w:val="22"/>
        </w:rPr>
        <w:t xml:space="preserve"> (acariens du chien ou chat) ou une infection sexuellement transmissible</w:t>
      </w:r>
    </w:p>
    <w:p w14:paraId="42E6F611"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La description qualitative du prurit possède une valeur diagnostique : des sensations de décharge électrique, brûlure, piqûre ou engourdissement suggèrent une origine neuropathique. L'intensité est quantifiée par des échelles validées (NRS, EVA, VRS, WINRS évaluant le prurit maximal et moyen des dernières 24 heures).</w:t>
      </w:r>
    </w:p>
    <w:p w14:paraId="317AC152"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L'examen physique recherche des signes évocateurs : </w:t>
      </w:r>
      <w:proofErr w:type="spellStart"/>
      <w:r w:rsidRPr="00DC6E2D">
        <w:rPr>
          <w:rFonts w:ascii="Bryant-Naos" w:hAnsi="Bryant-Naos"/>
          <w:color w:val="595959" w:themeColor="text1" w:themeTint="A6"/>
          <w:sz w:val="22"/>
          <w:szCs w:val="22"/>
        </w:rPr>
        <w:t>half</w:t>
      </w:r>
      <w:proofErr w:type="spellEnd"/>
      <w:r w:rsidRPr="00DC6E2D">
        <w:rPr>
          <w:rFonts w:ascii="Bryant-Naos" w:hAnsi="Bryant-Naos"/>
          <w:color w:val="595959" w:themeColor="text1" w:themeTint="A6"/>
          <w:sz w:val="22"/>
          <w:szCs w:val="22"/>
        </w:rPr>
        <w:t>-and-</w:t>
      </w:r>
      <w:proofErr w:type="spellStart"/>
      <w:r w:rsidRPr="00DC6E2D">
        <w:rPr>
          <w:rFonts w:ascii="Bryant-Naos" w:hAnsi="Bryant-Naos"/>
          <w:color w:val="595959" w:themeColor="text1" w:themeTint="A6"/>
          <w:sz w:val="22"/>
          <w:szCs w:val="22"/>
        </w:rPr>
        <w:t>half</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nails</w:t>
      </w:r>
      <w:proofErr w:type="spellEnd"/>
      <w:r w:rsidRPr="00DC6E2D">
        <w:rPr>
          <w:rFonts w:ascii="Bryant-Naos" w:hAnsi="Bryant-Naos"/>
          <w:color w:val="595959" w:themeColor="text1" w:themeTint="A6"/>
          <w:sz w:val="22"/>
          <w:szCs w:val="22"/>
        </w:rPr>
        <w:t xml:space="preserve"> (IRC), ictère, stigmates de cirrhose, adénopathies, organomégalies, anomalies thyroïdiennes, et réalise un examen neurologique.</w:t>
      </w:r>
    </w:p>
    <w:p w14:paraId="4D5723C8"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lastRenderedPageBreak/>
        <w:t xml:space="preserve">Le bilan biologique de première intention comprend : bilan hépatique complet, calcémie (phosphorémie), TSH, numération formule sanguine, ferritinémie, LDH, CRP, glycémie, HbA1c, créatininémie, DFG et questionnaires d'évaluation de la dépression et de l'anxiété. Le bilan de deuxième intention, orienté selon le contexte, peut inclure : scanner </w:t>
      </w:r>
      <w:proofErr w:type="spellStart"/>
      <w:r w:rsidRPr="00DC6E2D">
        <w:rPr>
          <w:rFonts w:ascii="Bryant-Naos" w:hAnsi="Bryant-Naos"/>
          <w:color w:val="595959" w:themeColor="text1" w:themeTint="A6"/>
          <w:sz w:val="22"/>
          <w:szCs w:val="22"/>
        </w:rPr>
        <w:t>thoracoabdomino</w:t>
      </w:r>
      <w:proofErr w:type="spellEnd"/>
      <w:r w:rsidRPr="00DC6E2D">
        <w:rPr>
          <w:rFonts w:ascii="Bryant-Naos" w:hAnsi="Bryant-Naos"/>
          <w:color w:val="595959" w:themeColor="text1" w:themeTint="A6"/>
          <w:sz w:val="22"/>
          <w:szCs w:val="22"/>
        </w:rPr>
        <w:t xml:space="preserve">-pelvien, TEP-scanner, sérologies VIH, hépatites B et C, hépatite A, CMV, EBV, avec éventuelle réévaluation scanographique à un an. Une biopsie cutanée avec immunofluorescence directe et étude des petites fibres peut s'avérer nécessaire. Le bilan biologique peut être complété par : </w:t>
      </w:r>
      <w:proofErr w:type="spellStart"/>
      <w:r w:rsidRPr="00DC6E2D">
        <w:rPr>
          <w:rFonts w:ascii="Bryant-Naos" w:hAnsi="Bryant-Naos"/>
          <w:color w:val="595959" w:themeColor="text1" w:themeTint="A6"/>
          <w:sz w:val="22"/>
          <w:szCs w:val="22"/>
        </w:rPr>
        <w:t>tryptasémie</w:t>
      </w:r>
      <w:proofErr w:type="spellEnd"/>
      <w:r w:rsidRPr="00DC6E2D">
        <w:rPr>
          <w:rFonts w:ascii="Bryant-Naos" w:hAnsi="Bryant-Naos"/>
          <w:color w:val="595959" w:themeColor="text1" w:themeTint="A6"/>
          <w:sz w:val="22"/>
          <w:szCs w:val="22"/>
        </w:rPr>
        <w:t>, albuminémie, protidémie, dosages vitaminiques (A, B12, B9), examen parasitologique des selles, PCR helminthiases. Une IRM rachidienne ou cérébrale peut être indiquée en cas de suspicion de sclérose en plaques.</w:t>
      </w:r>
    </w:p>
    <w:p w14:paraId="230483F4" w14:textId="77777777" w:rsidR="00DC6E2D" w:rsidRPr="00DC6E2D" w:rsidRDefault="00DC6E2D" w:rsidP="00DC6E2D">
      <w:pPr>
        <w:rPr>
          <w:rFonts w:ascii="Bryant-Naos Bold" w:hAnsi="Bryant-Naos Bold"/>
          <w:color w:val="004F88"/>
          <w:sz w:val="52"/>
          <w:szCs w:val="52"/>
        </w:rPr>
      </w:pPr>
      <w:r w:rsidRPr="00DC6E2D">
        <w:rPr>
          <w:rFonts w:ascii="Bryant-Naos Bold" w:hAnsi="Bryant-Naos Bold"/>
          <w:color w:val="004F88"/>
          <w:sz w:val="52"/>
          <w:szCs w:val="52"/>
        </w:rPr>
        <w:t>Prurit urémique</w:t>
      </w:r>
    </w:p>
    <w:p w14:paraId="7F46E860"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Intervenant : Guy Rostoker</w:t>
      </w:r>
    </w:p>
    <w:p w14:paraId="5E4DA8A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Le prurit urémique représente une complication fréquente et invalidante de la maladie rénale chronique en particulier chez les patients dialysés. Sa prévalence en dialyse est estimée à 23,5 %, dont 5 % de formes sévères et 1,2 % extrêmement sévères. Contrairement aux conceptions anciennes, le prurit ne disparaît pas avec la dialyse, qu’il s’agisse d’hémodialyse ou de dialyse péritonéale. Chez les patients atteints d’IRC non dialysée, la prévalence atteint 51 %, avec une fréquence particulièrement élevée aux stades préterminaux, faisant du prurit un marqueur de sévérité de la maladie rénale.</w:t>
      </w:r>
      <w:r w:rsidRPr="00DC6E2D">
        <w:rPr>
          <w:rFonts w:ascii="Bryant-Naos" w:hAnsi="Bryant-Naos"/>
          <w:color w:val="595959" w:themeColor="text1" w:themeTint="A6"/>
          <w:sz w:val="22"/>
          <w:szCs w:val="22"/>
        </w:rPr>
        <w:br/>
        <w:t>Cliniquement, le prurit prédomine au niveau de la tête, du thorax et des faces antérieures des jambes. Il constitue la quatrième cause de poids de la maladie chez les patients hémodialysés et altère significativement la qualité du sommeil, la santé psychique et physique.</w:t>
      </w:r>
      <w:r w:rsidRPr="00DC6E2D">
        <w:rPr>
          <w:rFonts w:ascii="Bryant-Naos" w:hAnsi="Bryant-Naos"/>
          <w:color w:val="595959" w:themeColor="text1" w:themeTint="A6"/>
          <w:sz w:val="22"/>
          <w:szCs w:val="22"/>
        </w:rPr>
        <w:br/>
        <w:t>La physiopathologie du prurit urémique est multifactorielle. Elle implique l’accumulation de toxines urémiques, une neuropathie périphérique, ainsi que des anomalies immunitaires caractérisées par un déficit en IL-2 et un état inflammatoire chronique.</w:t>
      </w:r>
    </w:p>
    <w:p w14:paraId="644CF426"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 dérèglement du système opioïde endogène joue un rôle central : augmentation des endorphines activant les récepteurs </w:t>
      </w:r>
      <w:r w:rsidRPr="00DC6E2D">
        <w:rPr>
          <w:rFonts w:ascii="Courier New" w:hAnsi="Courier New" w:cs="Courier New"/>
          <w:color w:val="595959" w:themeColor="text1" w:themeTint="A6"/>
          <w:sz w:val="22"/>
          <w:szCs w:val="22"/>
        </w:rPr>
        <w:t>μ</w:t>
      </w:r>
      <w:r w:rsidRPr="00DC6E2D">
        <w:rPr>
          <w:rFonts w:ascii="Bryant-Naos" w:hAnsi="Bryant-Naos"/>
          <w:color w:val="595959" w:themeColor="text1" w:themeTint="A6"/>
          <w:sz w:val="22"/>
          <w:szCs w:val="22"/>
        </w:rPr>
        <w:t xml:space="preserve"> (favorisant le prurit) et diminution des </w:t>
      </w:r>
      <w:proofErr w:type="spellStart"/>
      <w:r w:rsidRPr="00DC6E2D">
        <w:rPr>
          <w:rFonts w:ascii="Bryant-Naos" w:hAnsi="Bryant-Naos"/>
          <w:color w:val="595959" w:themeColor="text1" w:themeTint="A6"/>
          <w:sz w:val="22"/>
          <w:szCs w:val="22"/>
        </w:rPr>
        <w:t>dynorphines</w:t>
      </w:r>
      <w:proofErr w:type="spellEnd"/>
      <w:r w:rsidRPr="00DC6E2D">
        <w:rPr>
          <w:rFonts w:ascii="Bryant-Naos" w:hAnsi="Bryant-Naos"/>
          <w:color w:val="595959" w:themeColor="text1" w:themeTint="A6"/>
          <w:sz w:val="22"/>
          <w:szCs w:val="22"/>
        </w:rPr>
        <w:t xml:space="preserve"> stimulant les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cepteurs </w:t>
      </w:r>
      <w:r w:rsidRPr="00DC6E2D">
        <w:rPr>
          <w:rFonts w:ascii="Courier New" w:hAnsi="Courier New" w:cs="Courier New"/>
          <w:color w:val="595959" w:themeColor="text1" w:themeTint="A6"/>
          <w:sz w:val="22"/>
          <w:szCs w:val="22"/>
        </w:rPr>
        <w:t>κ</w:t>
      </w:r>
      <w:r w:rsidRPr="00DC6E2D">
        <w:rPr>
          <w:rFonts w:ascii="Bryant-Naos" w:hAnsi="Bryant-Naos"/>
          <w:color w:val="595959" w:themeColor="text1" w:themeTint="A6"/>
          <w:sz w:val="22"/>
          <w:szCs w:val="22"/>
        </w:rPr>
        <w:t xml:space="preserve">, ces derniers </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tant plus fr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quemment exprim</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s chez les patients dialys</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s sans prurit. Les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cepteurs opio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des sont pr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sents notamment sur toutes les cellules immunitaires de la peau et les k</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ratinocytes.</w:t>
      </w:r>
      <w:r w:rsidRPr="00DC6E2D">
        <w:rPr>
          <w:rFonts w:ascii="Bryant-Naos" w:hAnsi="Bryant-Naos"/>
          <w:color w:val="595959" w:themeColor="text1" w:themeTint="A6"/>
          <w:sz w:val="22"/>
          <w:szCs w:val="22"/>
        </w:rPr>
        <w:br/>
        <w:t>La prise en charge th</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rapeutique a connu une v</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ritable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volution avec l</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arriv</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e de la </w:t>
      </w:r>
      <w:proofErr w:type="spellStart"/>
      <w:r w:rsidRPr="00DC6E2D">
        <w:rPr>
          <w:rFonts w:ascii="Bryant-Naos" w:hAnsi="Bryant-Naos"/>
          <w:color w:val="595959" w:themeColor="text1" w:themeTint="A6"/>
          <w:sz w:val="22"/>
          <w:szCs w:val="22"/>
        </w:rPr>
        <w:t>Difelikefaline</w:t>
      </w:r>
      <w:proofErr w:type="spellEnd"/>
      <w:r w:rsidRPr="00DC6E2D">
        <w:rPr>
          <w:rFonts w:ascii="Bryant-Naos" w:hAnsi="Bryant-Naos"/>
          <w:color w:val="595959" w:themeColor="text1" w:themeTint="A6"/>
          <w:sz w:val="22"/>
          <w:szCs w:val="22"/>
        </w:rPr>
        <w:br/>
        <w:t>(</w:t>
      </w:r>
      <w:proofErr w:type="spellStart"/>
      <w:r w:rsidRPr="00DC6E2D">
        <w:rPr>
          <w:rFonts w:ascii="Bryant-Naos" w:hAnsi="Bryant-Naos"/>
          <w:color w:val="595959" w:themeColor="text1" w:themeTint="A6"/>
          <w:sz w:val="22"/>
          <w:szCs w:val="22"/>
        </w:rPr>
        <w:t>Kapruvia</w:t>
      </w:r>
      <w:proofErr w:type="spellEnd"/>
      <w:r w:rsidRPr="00DC6E2D">
        <w:rPr>
          <w:rFonts w:ascii="Bryant-Naos" w:hAnsi="Bryant-Naos"/>
          <w:color w:val="595959" w:themeColor="text1" w:themeTint="A6"/>
          <w:sz w:val="22"/>
          <w:szCs w:val="22"/>
        </w:rPr>
        <w:t xml:space="preserve">), un agoniste sélectif des récepteurs </w:t>
      </w:r>
      <w:r w:rsidRPr="00DC6E2D">
        <w:rPr>
          <w:rFonts w:ascii="Courier New" w:hAnsi="Courier New" w:cs="Courier New"/>
          <w:color w:val="595959" w:themeColor="text1" w:themeTint="A6"/>
          <w:sz w:val="22"/>
          <w:szCs w:val="22"/>
        </w:rPr>
        <w:t>κ</w:t>
      </w:r>
      <w:r w:rsidRPr="00DC6E2D">
        <w:rPr>
          <w:rFonts w:ascii="Bryant-Naos" w:hAnsi="Bryant-Naos"/>
          <w:color w:val="595959" w:themeColor="text1" w:themeTint="A6"/>
          <w:sz w:val="22"/>
          <w:szCs w:val="22"/>
        </w:rPr>
        <w:t xml:space="preserve"> opio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des p</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riph</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riques. Les essais KALM-1 et KALM-2 ont montr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une diminution significative du prurit, avec par exemple environ 50 % des patients qui pr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sentent une baisse </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 xml:space="preserve"> 3 points du score WI-NRS et une am</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lioration significative des troubles du sommeil : 52 % des patients pr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sentaient des troubles s</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v</w:t>
      </w:r>
      <w:r w:rsidRPr="00DC6E2D">
        <w:rPr>
          <w:rFonts w:ascii="Bryant-Naos" w:hAnsi="Bryant-Naos" w:cs="Bryant-Naos"/>
          <w:color w:val="595959" w:themeColor="text1" w:themeTint="A6"/>
          <w:sz w:val="22"/>
          <w:szCs w:val="22"/>
        </w:rPr>
        <w:t>è</w:t>
      </w:r>
      <w:r w:rsidRPr="00DC6E2D">
        <w:rPr>
          <w:rFonts w:ascii="Bryant-Naos" w:hAnsi="Bryant-Naos"/>
          <w:color w:val="595959" w:themeColor="text1" w:themeTint="A6"/>
          <w:sz w:val="22"/>
          <w:szCs w:val="22"/>
        </w:rPr>
        <w:t xml:space="preserve">res </w:t>
      </w:r>
      <w:r w:rsidRPr="00DC6E2D">
        <w:rPr>
          <w:rFonts w:ascii="Bryant-Naos" w:hAnsi="Bryant-Naos" w:cs="Bryant-Naos"/>
          <w:color w:val="595959" w:themeColor="text1" w:themeTint="A6"/>
          <w:sz w:val="22"/>
          <w:szCs w:val="22"/>
        </w:rPr>
        <w:t>à</w:t>
      </w:r>
      <w:r w:rsidRPr="00DC6E2D">
        <w:rPr>
          <w:rFonts w:ascii="Bryant-Naos" w:hAnsi="Bryant-Naos"/>
          <w:color w:val="595959" w:themeColor="text1" w:themeTint="A6"/>
          <w:sz w:val="22"/>
          <w:szCs w:val="22"/>
        </w:rPr>
        <w:t xml:space="preserve"> l</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inclusion, contre 5 % en fin d</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tude chez les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pondeurs. L</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efficacit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et la tol</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rance semblent bonnes avec notamment sans syndrome de sevrage rapport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ni de dépendance.</w:t>
      </w:r>
    </w:p>
    <w:p w14:paraId="773F46F2"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lastRenderedPageBreak/>
        <w:br/>
        <w:t>Sur le plan médico-économique, le traitement est jugé coût-efficace, avec un coût estimé à 20 euros par flacon, administré à chaque séance d’hémodialyse (trois fois par semaine).</w:t>
      </w:r>
      <w:r w:rsidRPr="00DC6E2D">
        <w:rPr>
          <w:rFonts w:ascii="Bryant-Naos" w:hAnsi="Bryant-Naos"/>
          <w:color w:val="595959" w:themeColor="text1" w:themeTint="A6"/>
          <w:sz w:val="22"/>
          <w:szCs w:val="22"/>
        </w:rPr>
        <w:br/>
        <w:t>Les autres thérapeutiques reposent sur les antihistaminiques, les émollients et l’optimisation des techniques de dialyse avec par exemple l'</w:t>
      </w:r>
      <w:proofErr w:type="spellStart"/>
      <w:r w:rsidRPr="00DC6E2D">
        <w:rPr>
          <w:rFonts w:ascii="Bryant-Naos" w:hAnsi="Bryant-Naos"/>
          <w:color w:val="595959" w:themeColor="text1" w:themeTint="A6"/>
          <w:sz w:val="22"/>
          <w:szCs w:val="22"/>
        </w:rPr>
        <w:t>hémo</w:t>
      </w:r>
      <w:proofErr w:type="spellEnd"/>
      <w:r w:rsidRPr="00DC6E2D">
        <w:rPr>
          <w:rFonts w:ascii="Bryant-Naos" w:hAnsi="Bryant-Naos"/>
          <w:color w:val="595959" w:themeColor="text1" w:themeTint="A6"/>
          <w:sz w:val="22"/>
          <w:szCs w:val="22"/>
        </w:rPr>
        <w:t xml:space="preserve"> absorption ou l’utilisation de nouvelles membranes plus performantes. Après ces mesures, si le WI NRS est inférieur à 3 on poursuit ces mesures symptomatiques et si le Wi NRS est supérieur à 4 on peut prescrire le </w:t>
      </w:r>
      <w:proofErr w:type="spellStart"/>
      <w:r w:rsidRPr="00DC6E2D">
        <w:rPr>
          <w:rFonts w:ascii="Bryant-Naos" w:hAnsi="Bryant-Naos"/>
          <w:color w:val="595959" w:themeColor="text1" w:themeTint="A6"/>
          <w:sz w:val="22"/>
          <w:szCs w:val="22"/>
        </w:rPr>
        <w:t>Kapruvia</w:t>
      </w:r>
      <w:proofErr w:type="spellEnd"/>
      <w:r w:rsidRPr="00DC6E2D">
        <w:rPr>
          <w:rFonts w:ascii="Bryant-Naos" w:hAnsi="Bryant-Naos"/>
          <w:color w:val="595959" w:themeColor="text1" w:themeTint="A6"/>
          <w:sz w:val="22"/>
          <w:szCs w:val="22"/>
        </w:rPr>
        <w:t xml:space="preserve"> avec une évaluation à 3 mois.</w:t>
      </w:r>
    </w:p>
    <w:p w14:paraId="51919664"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xml:space="preserve">Un second agoniste des récepteurs </w:t>
      </w:r>
      <w:r w:rsidRPr="00DC6E2D">
        <w:rPr>
          <w:rFonts w:ascii="Courier New" w:hAnsi="Courier New" w:cs="Courier New"/>
          <w:color w:val="595959" w:themeColor="text1" w:themeTint="A6"/>
          <w:sz w:val="22"/>
          <w:szCs w:val="22"/>
        </w:rPr>
        <w:t>κ</w:t>
      </w:r>
      <w:r w:rsidRPr="00DC6E2D">
        <w:rPr>
          <w:rFonts w:ascii="Bryant-Naos" w:hAnsi="Bryant-Naos"/>
          <w:color w:val="595959" w:themeColor="text1" w:themeTint="A6"/>
          <w:sz w:val="22"/>
          <w:szCs w:val="22"/>
        </w:rPr>
        <w:t>, l</w:t>
      </w:r>
      <w:r w:rsidRPr="00DC6E2D">
        <w:rPr>
          <w:rFonts w:ascii="Bryant-Naos" w:hAnsi="Bryant-Naos" w:cs="Bryant-Naos"/>
          <w:color w:val="595959" w:themeColor="text1" w:themeTint="A6"/>
          <w:sz w:val="22"/>
          <w:szCs w:val="22"/>
        </w:rPr>
        <w:t>’</w:t>
      </w:r>
      <w:proofErr w:type="spellStart"/>
      <w:r w:rsidRPr="00DC6E2D">
        <w:rPr>
          <w:rFonts w:ascii="Bryant-Naos" w:hAnsi="Bryant-Naos"/>
          <w:color w:val="595959" w:themeColor="text1" w:themeTint="A6"/>
          <w:sz w:val="22"/>
          <w:szCs w:val="22"/>
        </w:rPr>
        <w:t>Anrikefon</w:t>
      </w:r>
      <w:proofErr w:type="spellEnd"/>
      <w:r w:rsidRPr="00DC6E2D">
        <w:rPr>
          <w:rFonts w:ascii="Bryant-Naos" w:hAnsi="Bryant-Naos"/>
          <w:color w:val="595959" w:themeColor="text1" w:themeTint="A6"/>
          <w:sz w:val="22"/>
          <w:szCs w:val="22"/>
        </w:rPr>
        <w:t>, d</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efficacit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comparable est en cours de d</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veloppement. Son int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w:t>
      </w:r>
      <w:r w:rsidRPr="00DC6E2D">
        <w:rPr>
          <w:rFonts w:ascii="Bryant-Naos" w:hAnsi="Bryant-Naos" w:cs="Bryant-Naos"/>
          <w:color w:val="595959" w:themeColor="text1" w:themeTint="A6"/>
          <w:sz w:val="22"/>
          <w:szCs w:val="22"/>
        </w:rPr>
        <w:t>ê</w:t>
      </w:r>
      <w:r w:rsidRPr="00DC6E2D">
        <w:rPr>
          <w:rFonts w:ascii="Bryant-Naos" w:hAnsi="Bryant-Naos"/>
          <w:color w:val="595959" w:themeColor="text1" w:themeTint="A6"/>
          <w:sz w:val="22"/>
          <w:szCs w:val="22"/>
        </w:rPr>
        <w:t>t principal serait la possibilit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de d</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velopper une forme orale, potentiellement adapt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e </w:t>
      </w:r>
      <w:r w:rsidRPr="00DC6E2D">
        <w:rPr>
          <w:rFonts w:ascii="Bryant-Naos" w:hAnsi="Bryant-Naos" w:cs="Bryant-Naos"/>
          <w:color w:val="595959" w:themeColor="text1" w:themeTint="A6"/>
          <w:sz w:val="22"/>
          <w:szCs w:val="22"/>
        </w:rPr>
        <w:t>à</w:t>
      </w:r>
      <w:r w:rsidRPr="00DC6E2D">
        <w:rPr>
          <w:rFonts w:ascii="Bryant-Naos" w:hAnsi="Bryant-Naos"/>
          <w:color w:val="595959" w:themeColor="text1" w:themeTint="A6"/>
          <w:sz w:val="22"/>
          <w:szCs w:val="22"/>
        </w:rPr>
        <w:t xml:space="preserve"> la dialyse p</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riton</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ale.</w:t>
      </w:r>
    </w:p>
    <w:p w14:paraId="59436A7F" w14:textId="77777777" w:rsidR="00DC6E2D" w:rsidRPr="00BB0D12"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xml:space="preserve">Le traitement par </w:t>
      </w:r>
      <w:proofErr w:type="spellStart"/>
      <w:r w:rsidRPr="00DC6E2D">
        <w:rPr>
          <w:rFonts w:ascii="Bryant-Naos" w:hAnsi="Bryant-Naos"/>
          <w:color w:val="595959" w:themeColor="text1" w:themeTint="A6"/>
          <w:sz w:val="22"/>
          <w:szCs w:val="22"/>
        </w:rPr>
        <w:t>Difelikefaline</w:t>
      </w:r>
      <w:proofErr w:type="spellEnd"/>
      <w:r w:rsidRPr="00DC6E2D">
        <w:rPr>
          <w:rFonts w:ascii="Bryant-Naos" w:hAnsi="Bryant-Naos"/>
          <w:color w:val="595959" w:themeColor="text1" w:themeTint="A6"/>
          <w:sz w:val="22"/>
          <w:szCs w:val="22"/>
        </w:rPr>
        <w:t xml:space="preserve"> reste actuellement peu prescrit en pratique clinique et un registre de suivi a été mis en place pour étudier son utilisation en vie réelle.</w:t>
      </w:r>
    </w:p>
    <w:p w14:paraId="4CEEFA7A" w14:textId="77777777" w:rsidR="00BB0D12" w:rsidRDefault="00BB0D12" w:rsidP="00DC6E2D">
      <w:pPr>
        <w:rPr>
          <w:rFonts w:ascii="Bryant-Naos" w:hAnsi="Bryant-Naos"/>
          <w:sz w:val="22"/>
          <w:szCs w:val="22"/>
        </w:rPr>
      </w:pPr>
    </w:p>
    <w:p w14:paraId="73A21809" w14:textId="77777777" w:rsidR="00BB0D12" w:rsidRPr="00DC6E2D" w:rsidRDefault="00BB0D12" w:rsidP="00DC6E2D">
      <w:pPr>
        <w:rPr>
          <w:rFonts w:ascii="Bryant-Naos" w:hAnsi="Bryant-Naos"/>
          <w:sz w:val="22"/>
          <w:szCs w:val="22"/>
        </w:rPr>
      </w:pPr>
    </w:p>
    <w:p w14:paraId="0A5960C2" w14:textId="77777777" w:rsidR="00DC6E2D" w:rsidRPr="00DC6E2D" w:rsidRDefault="00DC6E2D" w:rsidP="00DC6E2D">
      <w:pPr>
        <w:rPr>
          <w:rFonts w:ascii="Bryant-Naos Bold" w:hAnsi="Bryant-Naos Bold"/>
          <w:color w:val="004F88"/>
          <w:sz w:val="52"/>
          <w:szCs w:val="52"/>
        </w:rPr>
      </w:pPr>
      <w:r w:rsidRPr="00DC6E2D">
        <w:rPr>
          <w:rFonts w:ascii="Bryant-Naos Bold" w:hAnsi="Bryant-Naos Bold"/>
          <w:color w:val="004F88"/>
          <w:sz w:val="52"/>
          <w:szCs w:val="52"/>
        </w:rPr>
        <w:t>Prurit cholestatique</w:t>
      </w:r>
    </w:p>
    <w:p w14:paraId="21E1A50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Intervenant : Jerome Gournay</w:t>
      </w:r>
    </w:p>
    <w:p w14:paraId="6885D4DD"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Le prurit cholestatique constitue un symptôme fréquent et invalidant des maladies hépatobiliaires,</w:t>
      </w:r>
      <w:r w:rsidRPr="00DC6E2D">
        <w:rPr>
          <w:rFonts w:ascii="Bryant-Naos" w:hAnsi="Bryant-Naos"/>
          <w:color w:val="595959" w:themeColor="text1" w:themeTint="A6"/>
          <w:sz w:val="22"/>
          <w:szCs w:val="22"/>
        </w:rPr>
        <w:br/>
        <w:t>en particulier de la cholangite biliaire primitive (CBP), pathologie avec une cholestase importante utiliser pour évaluer le prurit cholestatique. Dans cette pathologie environ 80 % des patients rapportent un prurit, qui est souvent insuffisamment évalué et traité. Mais le prurit cholestatique s’observe dans de nombreuses autres affections hépato-biliaires comme les cholestases génétiques (PFIC, BRIC), la cholangite sclérosante primitive, les cancers hépatiques et biliaires notamment le cholangiocarcinome et le syndrome d’</w:t>
      </w:r>
      <w:proofErr w:type="spellStart"/>
      <w:r w:rsidRPr="00DC6E2D">
        <w:rPr>
          <w:rFonts w:ascii="Bryant-Naos" w:hAnsi="Bryant-Naos"/>
          <w:color w:val="595959" w:themeColor="text1" w:themeTint="A6"/>
          <w:sz w:val="22"/>
          <w:szCs w:val="22"/>
        </w:rPr>
        <w:t>Alagille</w:t>
      </w:r>
      <w:proofErr w:type="spellEnd"/>
      <w:r w:rsidRPr="00DC6E2D">
        <w:rPr>
          <w:rFonts w:ascii="Bryant-Naos" w:hAnsi="Bryant-Naos"/>
          <w:color w:val="595959" w:themeColor="text1" w:themeTint="A6"/>
          <w:sz w:val="22"/>
          <w:szCs w:val="22"/>
        </w:rPr>
        <w:t>.</w:t>
      </w:r>
    </w:p>
    <w:p w14:paraId="714406C3"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Le prurit sévère a un impact majeur sur l’état de santé et la qualité de vie. On peut l’évaluer en utilisant différentes échelles validées (EVA, WI-NRS, score 5-D intégrant durée, intensité, évolution, retentissement sur le sommeil et la vie sociale, le travail et la localisation), ainsi que sur des outils spécifiques pédiatriques (</w:t>
      </w:r>
      <w:proofErr w:type="spellStart"/>
      <w:r w:rsidRPr="00DC6E2D">
        <w:rPr>
          <w:rFonts w:ascii="Bryant-Naos" w:hAnsi="Bryant-Naos"/>
          <w:color w:val="595959" w:themeColor="text1" w:themeTint="A6"/>
          <w:sz w:val="22"/>
          <w:szCs w:val="22"/>
        </w:rPr>
        <w:t>Itch</w:t>
      </w:r>
      <w:proofErr w:type="spellEnd"/>
      <w:r w:rsidRPr="00DC6E2D">
        <w:rPr>
          <w:rFonts w:ascii="Bryant-Naos" w:hAnsi="Bryant-Naos"/>
          <w:color w:val="595959" w:themeColor="text1" w:themeTint="A6"/>
          <w:sz w:val="22"/>
          <w:szCs w:val="22"/>
        </w:rPr>
        <w:t>-RO).</w:t>
      </w:r>
    </w:p>
    <w:p w14:paraId="59C456E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Les mécanismes physiopathologiques du prurit cholestatique sont complexes et reposent en partie sur l'accumulation d’acides biliaires et de phospholipides. On retrouve également une accumulation d’</w:t>
      </w:r>
      <w:proofErr w:type="spellStart"/>
      <w:r w:rsidRPr="00DC6E2D">
        <w:rPr>
          <w:rFonts w:ascii="Bryant-Naos" w:hAnsi="Bryant-Naos"/>
          <w:color w:val="595959" w:themeColor="text1" w:themeTint="A6"/>
          <w:sz w:val="22"/>
          <w:szCs w:val="22"/>
        </w:rPr>
        <w:t>autotaxines</w:t>
      </w:r>
      <w:proofErr w:type="spellEnd"/>
      <w:r w:rsidRPr="00DC6E2D">
        <w:rPr>
          <w:rFonts w:ascii="Bryant-Naos" w:hAnsi="Bryant-Naos"/>
          <w:color w:val="595959" w:themeColor="text1" w:themeTint="A6"/>
          <w:sz w:val="22"/>
          <w:szCs w:val="22"/>
        </w:rPr>
        <w:t xml:space="preserve"> et le </w:t>
      </w:r>
      <w:proofErr w:type="spellStart"/>
      <w:r w:rsidRPr="00DC6E2D">
        <w:rPr>
          <w:rFonts w:ascii="Bryant-Naos" w:hAnsi="Bryant-Naos"/>
          <w:color w:val="595959" w:themeColor="text1" w:themeTint="A6"/>
          <w:sz w:val="22"/>
          <w:szCs w:val="22"/>
        </w:rPr>
        <w:t>lysophosphatidic</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acid</w:t>
      </w:r>
      <w:proofErr w:type="spellEnd"/>
      <w:r w:rsidRPr="00DC6E2D">
        <w:rPr>
          <w:rFonts w:ascii="Bryant-Naos" w:hAnsi="Bryant-Naos"/>
          <w:color w:val="595959" w:themeColor="text1" w:themeTint="A6"/>
          <w:sz w:val="22"/>
          <w:szCs w:val="22"/>
        </w:rPr>
        <w:t xml:space="preserve"> (LPA) avec une corrélation entre leurs taux et l’intensité du prurit.</w:t>
      </w:r>
      <w:r w:rsidRPr="00DC6E2D">
        <w:rPr>
          <w:rFonts w:ascii="Bryant-Naos" w:hAnsi="Bryant-Naos"/>
          <w:color w:val="595959" w:themeColor="text1" w:themeTint="A6"/>
          <w:sz w:val="22"/>
          <w:szCs w:val="22"/>
        </w:rPr>
        <w:br/>
        <w:t xml:space="preserve">Un déséquilibre du tonus opioïde endogène est impliqué avec une augmentation des récepteurs </w:t>
      </w:r>
      <w:r w:rsidRPr="00DC6E2D">
        <w:rPr>
          <w:rFonts w:ascii="Courier New" w:hAnsi="Courier New" w:cs="Courier New"/>
          <w:color w:val="595959" w:themeColor="text1" w:themeTint="A6"/>
          <w:sz w:val="22"/>
          <w:szCs w:val="22"/>
        </w:rPr>
        <w:t>μ</w:t>
      </w:r>
      <w:r w:rsidRPr="00DC6E2D">
        <w:rPr>
          <w:rFonts w:ascii="Bryant-Naos" w:hAnsi="Bryant-Naos"/>
          <w:color w:val="595959" w:themeColor="text1" w:themeTint="A6"/>
          <w:sz w:val="22"/>
          <w:szCs w:val="22"/>
        </w:rPr>
        <w:t xml:space="preserve"> opio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des qui majorent le prurit, expliquant l</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efficacit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des antagonistes opio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 xml:space="preserve">des comme la </w:t>
      </w:r>
      <w:proofErr w:type="spellStart"/>
      <w:r w:rsidRPr="00DC6E2D">
        <w:rPr>
          <w:rFonts w:ascii="Bryant-Naos" w:hAnsi="Bryant-Naos"/>
          <w:color w:val="595959" w:themeColor="text1" w:themeTint="A6"/>
          <w:sz w:val="22"/>
          <w:szCs w:val="22"/>
        </w:rPr>
        <w:t>Naltrexone</w:t>
      </w:r>
      <w:proofErr w:type="spellEnd"/>
      <w:r w:rsidRPr="00DC6E2D">
        <w:rPr>
          <w:rFonts w:ascii="Bryant-Naos" w:hAnsi="Bryant-Naos"/>
          <w:color w:val="595959" w:themeColor="text1" w:themeTint="A6"/>
          <w:sz w:val="22"/>
          <w:szCs w:val="22"/>
        </w:rPr>
        <w:t>.</w:t>
      </w:r>
      <w:r w:rsidRPr="00DC6E2D">
        <w:rPr>
          <w:rFonts w:ascii="Bryant-Naos" w:hAnsi="Bryant-Naos"/>
          <w:color w:val="595959" w:themeColor="text1" w:themeTint="A6"/>
          <w:sz w:val="22"/>
          <w:szCs w:val="22"/>
        </w:rPr>
        <w:br/>
        <w:t xml:space="preserve">Des neurorécepteurs de la voie centrale comme la sérotonine et la dopamine interviennent </w:t>
      </w:r>
      <w:r w:rsidRPr="00DC6E2D">
        <w:rPr>
          <w:rFonts w:ascii="Bryant-Naos" w:hAnsi="Bryant-Naos"/>
          <w:color w:val="595959" w:themeColor="text1" w:themeTint="A6"/>
          <w:sz w:val="22"/>
          <w:szCs w:val="22"/>
        </w:rPr>
        <w:lastRenderedPageBreak/>
        <w:t xml:space="preserve">également ce qui est suggéré par l’efficacité des agonistes sérotoninergiques comme l'ondansétron et le rythme circadien de la symptomatologie. De même, certaines cytokines, notamment l’IL-31 et le TGF-Bêta sont surexprimées en association avec l'activation immunitaire hépatique et systémique et pourraient moduler la sensibilité </w:t>
      </w:r>
      <w:proofErr w:type="spellStart"/>
      <w:r w:rsidRPr="00DC6E2D">
        <w:rPr>
          <w:rFonts w:ascii="Bryant-Naos" w:hAnsi="Bryant-Naos"/>
          <w:color w:val="595959" w:themeColor="text1" w:themeTint="A6"/>
          <w:sz w:val="22"/>
          <w:szCs w:val="22"/>
        </w:rPr>
        <w:t>prurigène</w:t>
      </w:r>
      <w:proofErr w:type="spellEnd"/>
      <w:r w:rsidRPr="00DC6E2D">
        <w:rPr>
          <w:rFonts w:ascii="Bryant-Naos" w:hAnsi="Bryant-Naos"/>
          <w:color w:val="595959" w:themeColor="text1" w:themeTint="A6"/>
          <w:sz w:val="22"/>
          <w:szCs w:val="22"/>
        </w:rPr>
        <w:t>. En périphérie, l’activation de fibres C spécialisées du prurit, notamment via le récepteur MRGPRX4, participe à la transmission du signal.</w:t>
      </w:r>
    </w:p>
    <w:p w14:paraId="5C47DE79"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xml:space="preserve">La prise en charge thérapeutique repose sur des traitements ciblant ces différents mécanismes d’action et est définie selon les recommandations de l’EASL 2024. Elle propose en première intention chez l’adulte en association aux mesures conservatrices avec émollients et règles </w:t>
      </w:r>
      <w:proofErr w:type="spellStart"/>
      <w:r w:rsidRPr="00DC6E2D">
        <w:rPr>
          <w:rFonts w:ascii="Bryant-Naos" w:hAnsi="Bryant-Naos"/>
          <w:color w:val="595959" w:themeColor="text1" w:themeTint="A6"/>
          <w:sz w:val="22"/>
          <w:szCs w:val="22"/>
        </w:rPr>
        <w:t>hygiéno</w:t>
      </w:r>
      <w:proofErr w:type="spellEnd"/>
      <w:r w:rsidRPr="00DC6E2D">
        <w:rPr>
          <w:rFonts w:ascii="Bryant-Naos" w:hAnsi="Bryant-Naos"/>
          <w:color w:val="595959" w:themeColor="text1" w:themeTint="A6"/>
          <w:sz w:val="22"/>
          <w:szCs w:val="22"/>
        </w:rPr>
        <w:t xml:space="preserve"> diététiques, l'acide </w:t>
      </w:r>
      <w:proofErr w:type="spellStart"/>
      <w:r w:rsidRPr="00DC6E2D">
        <w:rPr>
          <w:rFonts w:ascii="Bryant-Naos" w:hAnsi="Bryant-Naos"/>
          <w:color w:val="595959" w:themeColor="text1" w:themeTint="A6"/>
          <w:sz w:val="22"/>
          <w:szCs w:val="22"/>
        </w:rPr>
        <w:t>ursodésoxycholique</w:t>
      </w:r>
      <w:proofErr w:type="spellEnd"/>
      <w:r w:rsidRPr="00DC6E2D">
        <w:rPr>
          <w:rFonts w:ascii="Bryant-Naos" w:hAnsi="Bryant-Naos"/>
          <w:color w:val="595959" w:themeColor="text1" w:themeTint="A6"/>
          <w:sz w:val="22"/>
          <w:szCs w:val="22"/>
        </w:rPr>
        <w:t xml:space="preserve"> (AUDC), la rifampicine et des traitements plus récents les fibrates ou agonistes PPAR (notamment le bézafibrate) et les IBAT (</w:t>
      </w:r>
      <w:proofErr w:type="spellStart"/>
      <w:r w:rsidRPr="00DC6E2D">
        <w:rPr>
          <w:rFonts w:ascii="Bryant-Naos" w:hAnsi="Bryant-Naos"/>
          <w:color w:val="595959" w:themeColor="text1" w:themeTint="A6"/>
          <w:sz w:val="22"/>
          <w:szCs w:val="22"/>
        </w:rPr>
        <w:t>Ileal</w:t>
      </w:r>
      <w:proofErr w:type="spellEnd"/>
      <w:r w:rsidRPr="00DC6E2D">
        <w:rPr>
          <w:rFonts w:ascii="Bryant-Naos" w:hAnsi="Bryant-Naos"/>
          <w:color w:val="595959" w:themeColor="text1" w:themeTint="A6"/>
          <w:sz w:val="22"/>
          <w:szCs w:val="22"/>
        </w:rPr>
        <w:t xml:space="preserve"> Bile Acid Transporter).</w:t>
      </w:r>
      <w:r w:rsidRPr="00DC6E2D">
        <w:rPr>
          <w:rFonts w:ascii="Bryant-Naos" w:hAnsi="Bryant-Naos"/>
          <w:color w:val="595959" w:themeColor="text1" w:themeTint="A6"/>
          <w:sz w:val="22"/>
          <w:szCs w:val="22"/>
        </w:rPr>
        <w:br/>
        <w:t>Les agonistes PPAR (</w:t>
      </w:r>
      <w:proofErr w:type="spellStart"/>
      <w:r w:rsidRPr="00DC6E2D">
        <w:rPr>
          <w:rFonts w:ascii="Bryant-Naos" w:hAnsi="Bryant-Naos"/>
          <w:color w:val="595959" w:themeColor="text1" w:themeTint="A6"/>
          <w:sz w:val="22"/>
          <w:szCs w:val="22"/>
        </w:rPr>
        <w:t>peroxisome</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proliferator-activated</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receptors</w:t>
      </w:r>
      <w:proofErr w:type="spellEnd"/>
      <w:r w:rsidRPr="00DC6E2D">
        <w:rPr>
          <w:rFonts w:ascii="Bryant-Naos" w:hAnsi="Bryant-Naos"/>
          <w:color w:val="595959" w:themeColor="text1" w:themeTint="A6"/>
          <w:sz w:val="22"/>
          <w:szCs w:val="22"/>
        </w:rPr>
        <w:t>), dont le bézafibrate, réduisent la synthèse des acides biliaires et du cholestérol et augmentent leur transport. Les IBAT (</w:t>
      </w:r>
      <w:proofErr w:type="spellStart"/>
      <w:r w:rsidRPr="00DC6E2D">
        <w:rPr>
          <w:rFonts w:ascii="Bryant-Naos" w:hAnsi="Bryant-Naos"/>
          <w:color w:val="595959" w:themeColor="text1" w:themeTint="A6"/>
          <w:sz w:val="22"/>
          <w:szCs w:val="22"/>
        </w:rPr>
        <w:t>Maralixibat</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Odevixibat</w:t>
      </w:r>
      <w:proofErr w:type="spellEnd"/>
      <w:r w:rsidRPr="00DC6E2D">
        <w:rPr>
          <w:rFonts w:ascii="Bryant-Naos" w:hAnsi="Bryant-Naos"/>
          <w:color w:val="595959" w:themeColor="text1" w:themeTint="A6"/>
          <w:sz w:val="22"/>
          <w:szCs w:val="22"/>
        </w:rPr>
        <w:t xml:space="preserve">), récemment commercialisés, diminuent la réabsorption iléale des acides biliaires </w:t>
      </w:r>
      <w:proofErr w:type="gramStart"/>
      <w:r w:rsidRPr="00DC6E2D">
        <w:rPr>
          <w:rFonts w:ascii="Bryant-Naos" w:hAnsi="Bryant-Naos"/>
          <w:color w:val="595959" w:themeColor="text1" w:themeTint="A6"/>
          <w:sz w:val="22"/>
          <w:szCs w:val="22"/>
        </w:rPr>
        <w:t>( 90</w:t>
      </w:r>
      <w:proofErr w:type="gramEnd"/>
      <w:r w:rsidRPr="00DC6E2D">
        <w:rPr>
          <w:rFonts w:ascii="Bryant-Naos" w:hAnsi="Bryant-Naos"/>
          <w:color w:val="595959" w:themeColor="text1" w:themeTint="A6"/>
          <w:sz w:val="22"/>
          <w:szCs w:val="22"/>
        </w:rPr>
        <w:t xml:space="preserve"> % normalement absorbés). Ils ont l'AMM dans le syndrome d’</w:t>
      </w:r>
      <w:proofErr w:type="spellStart"/>
      <w:r w:rsidRPr="00DC6E2D">
        <w:rPr>
          <w:rFonts w:ascii="Bryant-Naos" w:hAnsi="Bryant-Naos"/>
          <w:color w:val="595959" w:themeColor="text1" w:themeTint="A6"/>
          <w:sz w:val="22"/>
          <w:szCs w:val="22"/>
        </w:rPr>
        <w:t>Alagille</w:t>
      </w:r>
      <w:proofErr w:type="spellEnd"/>
      <w:r w:rsidRPr="00DC6E2D">
        <w:rPr>
          <w:rFonts w:ascii="Bryant-Naos" w:hAnsi="Bryant-Naos"/>
          <w:color w:val="595959" w:themeColor="text1" w:themeTint="A6"/>
          <w:sz w:val="22"/>
          <w:szCs w:val="22"/>
        </w:rPr>
        <w:t xml:space="preserve"> et la PFIC.</w:t>
      </w:r>
      <w:r w:rsidRPr="00DC6E2D">
        <w:rPr>
          <w:rFonts w:ascii="Bryant-Naos" w:hAnsi="Bryant-Naos"/>
          <w:color w:val="595959" w:themeColor="text1" w:themeTint="A6"/>
          <w:sz w:val="22"/>
          <w:szCs w:val="22"/>
        </w:rPr>
        <w:br/>
        <w:t>De nouvelles approches ciblées, notamment les antagonistes du récepteur MRGPRX4, sont en cours d’évaluation.</w:t>
      </w:r>
    </w:p>
    <w:p w14:paraId="4C2EA504"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Les avancées récentes, en particulier avec le bézafibrate et les IBAT illustrent l’intérêt d’une prise en charge guidée par les mécanismes du prurit.</w:t>
      </w:r>
    </w:p>
    <w:p w14:paraId="347D7B39" w14:textId="77777777" w:rsidR="00DC6E2D" w:rsidRPr="00DC6E2D" w:rsidRDefault="00DC6E2D" w:rsidP="00DC6E2D">
      <w:pPr>
        <w:rPr>
          <w:rFonts w:ascii="Bryant-Naos Bold" w:hAnsi="Bryant-Naos Bold"/>
          <w:color w:val="004F88"/>
          <w:sz w:val="52"/>
          <w:szCs w:val="52"/>
        </w:rPr>
      </w:pPr>
      <w:r w:rsidRPr="00DC6E2D">
        <w:rPr>
          <w:rFonts w:ascii="Bryant-Naos Bold" w:hAnsi="Bryant-Naos Bold"/>
          <w:color w:val="004F88"/>
          <w:sz w:val="52"/>
          <w:szCs w:val="52"/>
        </w:rPr>
        <w:t>Prurit hématologique</w:t>
      </w:r>
    </w:p>
    <w:p w14:paraId="4CECFB58"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Intervenant : Christelle Le Gall</w:t>
      </w:r>
    </w:p>
    <w:p w14:paraId="3A733D4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La prévalence du prurit dans les hémopathies est extrêmement variable, entre 10 et 90% selon les pathologies, avec une sous-évaluation liée à l'absence de questionnement systématique des patients.</w:t>
      </w:r>
    </w:p>
    <w:p w14:paraId="7203A71C"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 prurit hématologique peut premièrement être lié aux traitements utilisés pour soigner les hémopathies comme les inhibiteurs de BCR ABL, les anti CD20, le </w:t>
      </w:r>
      <w:proofErr w:type="spellStart"/>
      <w:r w:rsidRPr="00DC6E2D">
        <w:rPr>
          <w:rFonts w:ascii="Bryant-Naos" w:hAnsi="Bryant-Naos"/>
          <w:color w:val="595959" w:themeColor="text1" w:themeTint="A6"/>
          <w:sz w:val="22"/>
          <w:szCs w:val="22"/>
        </w:rPr>
        <w:t>Lenalidomide</w:t>
      </w:r>
      <w:proofErr w:type="spellEnd"/>
      <w:r w:rsidRPr="00DC6E2D">
        <w:rPr>
          <w:rFonts w:ascii="Bryant-Naos" w:hAnsi="Bryant-Naos"/>
          <w:color w:val="595959" w:themeColor="text1" w:themeTint="A6"/>
          <w:sz w:val="22"/>
          <w:szCs w:val="22"/>
        </w:rPr>
        <w:t xml:space="preserve">, l’interféron </w:t>
      </w:r>
      <w:proofErr w:type="spellStart"/>
      <w:r w:rsidRPr="00DC6E2D">
        <w:rPr>
          <w:rFonts w:ascii="Bryant-Naos" w:hAnsi="Bryant-Naos"/>
          <w:color w:val="595959" w:themeColor="text1" w:themeTint="A6"/>
          <w:sz w:val="22"/>
          <w:szCs w:val="22"/>
        </w:rPr>
        <w:t>pégylé</w:t>
      </w:r>
      <w:proofErr w:type="spellEnd"/>
      <w:r w:rsidRPr="00DC6E2D">
        <w:rPr>
          <w:rFonts w:ascii="Bryant-Naos" w:hAnsi="Bryant-Naos"/>
          <w:color w:val="595959" w:themeColor="text1" w:themeTint="A6"/>
          <w:sz w:val="22"/>
          <w:szCs w:val="22"/>
        </w:rPr>
        <w:t xml:space="preserve"> ou bien le </w:t>
      </w:r>
      <w:proofErr w:type="spellStart"/>
      <w:r w:rsidRPr="00DC6E2D">
        <w:rPr>
          <w:rFonts w:ascii="Bryant-Naos" w:hAnsi="Bryant-Naos"/>
          <w:color w:val="595959" w:themeColor="text1" w:themeTint="A6"/>
          <w:sz w:val="22"/>
          <w:szCs w:val="22"/>
        </w:rPr>
        <w:t>Nivolumab</w:t>
      </w:r>
      <w:proofErr w:type="spellEnd"/>
      <w:r w:rsidRPr="00DC6E2D">
        <w:rPr>
          <w:rFonts w:ascii="Bryant-Naos" w:hAnsi="Bryant-Naos"/>
          <w:color w:val="595959" w:themeColor="text1" w:themeTint="A6"/>
          <w:sz w:val="22"/>
          <w:szCs w:val="22"/>
        </w:rPr>
        <w:t>.</w:t>
      </w:r>
    </w:p>
    <w:p w14:paraId="112ECBD8"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Le prurit peut également constituer un symptôme paranéoplasique, parfois présent avant le diagnostic d'hémopathie. Il existe par exemple un risque accru de développer une hémopathie (gammapathie monoclonale, lymphome) dans les douze mois suivant l'apparition d’un prurit.</w:t>
      </w:r>
    </w:p>
    <w:p w14:paraId="4B4EDBE2"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 prurit dans les hémopathies est souvent réfractaire avec environ 60% des patients qui présentent toujours un prurit persistant malgré la mise en place d’un traitement </w:t>
      </w:r>
      <w:proofErr w:type="spellStart"/>
      <w:r w:rsidRPr="00DC6E2D">
        <w:rPr>
          <w:rFonts w:ascii="Bryant-Naos" w:hAnsi="Bryant-Naos"/>
          <w:color w:val="595959" w:themeColor="text1" w:themeTint="A6"/>
          <w:sz w:val="22"/>
          <w:szCs w:val="22"/>
        </w:rPr>
        <w:t>cytoréducteur</w:t>
      </w:r>
      <w:proofErr w:type="spellEnd"/>
      <w:r w:rsidRPr="00DC6E2D">
        <w:rPr>
          <w:rFonts w:ascii="Bryant-Naos" w:hAnsi="Bryant-Naos"/>
          <w:color w:val="595959" w:themeColor="text1" w:themeTint="A6"/>
          <w:sz w:val="22"/>
          <w:szCs w:val="22"/>
        </w:rPr>
        <w:t>.</w:t>
      </w:r>
    </w:p>
    <w:p w14:paraId="2B5652B5"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lastRenderedPageBreak/>
        <w:br/>
        <w:t>Il peut également être lié au pronostic de la pathologie à laquelle il est associé. Par exemple dans le lymphome de Hodgkin, le prurit associé à des signes B est de moins bon pronostic.</w:t>
      </w:r>
    </w:p>
    <w:p w14:paraId="29AFA8EC"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Dans tous les cas, l'impact sur la qualité de vie associée au prurit est majeur.</w:t>
      </w:r>
    </w:p>
    <w:p w14:paraId="52F01DE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La physiopathologie du prurit hématologique demeure largement méconnue, implique l'ensemble des cellules immunitaires et peut conditionner le traitement du prurit.</w:t>
      </w:r>
    </w:p>
    <w:p w14:paraId="60B91624"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Dans les lymphomes T cutanés, une surexpression d'IL-4, IL-13, IL-5, IL-31, IL-33, TSLP, substance P, GRP et tryptase a été identifiée, avec parfois une corrélation entre les taux cytokiniques et l'intensité du prurit. L’</w:t>
      </w:r>
      <w:proofErr w:type="spellStart"/>
      <w:r w:rsidRPr="00DC6E2D">
        <w:rPr>
          <w:rFonts w:ascii="Bryant-Naos" w:hAnsi="Bryant-Naos"/>
          <w:color w:val="595959" w:themeColor="text1" w:themeTint="A6"/>
          <w:sz w:val="22"/>
          <w:szCs w:val="22"/>
        </w:rPr>
        <w:t>Aprépitant</w:t>
      </w:r>
      <w:proofErr w:type="spellEnd"/>
      <w:r w:rsidRPr="00DC6E2D">
        <w:rPr>
          <w:rFonts w:ascii="Bryant-Naos" w:hAnsi="Bryant-Naos"/>
          <w:color w:val="595959" w:themeColor="text1" w:themeTint="A6"/>
          <w:sz w:val="22"/>
          <w:szCs w:val="22"/>
        </w:rPr>
        <w:t xml:space="preserve"> (antagoniste du récepteur à la substance P) semble montrer une réduction du prurit, </w:t>
      </w:r>
      <w:proofErr w:type="gramStart"/>
      <w:r w:rsidRPr="00DC6E2D">
        <w:rPr>
          <w:rFonts w:ascii="Bryant-Naos" w:hAnsi="Bryant-Naos"/>
          <w:color w:val="595959" w:themeColor="text1" w:themeTint="A6"/>
          <w:sz w:val="22"/>
          <w:szCs w:val="22"/>
        </w:rPr>
        <w:t>par contre</w:t>
      </w:r>
      <w:proofErr w:type="gramEnd"/>
      <w:r w:rsidRPr="00DC6E2D">
        <w:rPr>
          <w:rFonts w:ascii="Bryant-Naos" w:hAnsi="Bryant-Naos"/>
          <w:color w:val="595959" w:themeColor="text1" w:themeTint="A6"/>
          <w:sz w:val="22"/>
          <w:szCs w:val="22"/>
        </w:rPr>
        <w:t xml:space="preserve"> le </w:t>
      </w:r>
      <w:proofErr w:type="spellStart"/>
      <w:r w:rsidRPr="00DC6E2D">
        <w:rPr>
          <w:rFonts w:ascii="Bryant-Naos" w:hAnsi="Bryant-Naos"/>
          <w:color w:val="595959" w:themeColor="text1" w:themeTint="A6"/>
          <w:sz w:val="22"/>
          <w:szCs w:val="22"/>
        </w:rPr>
        <w:t>Dupilumab</w:t>
      </w:r>
      <w:proofErr w:type="spellEnd"/>
      <w:r w:rsidRPr="00DC6E2D">
        <w:rPr>
          <w:rFonts w:ascii="Bryant-Naos" w:hAnsi="Bryant-Naos"/>
          <w:color w:val="595959" w:themeColor="text1" w:themeTint="A6"/>
          <w:sz w:val="22"/>
          <w:szCs w:val="22"/>
        </w:rPr>
        <w:t xml:space="preserve"> n'est pas recommandé et peut parfois aggraver la pathologie.</w:t>
      </w:r>
    </w:p>
    <w:p w14:paraId="37934563"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Dans le lymphome de Hodgkin, il existe classiquement (30-40%) un prurit bien qu'il n'existe pas de lien clair avec l'évolution de la maladie, une surexpression d'IL-4, IL-31, IL-1</w:t>
      </w:r>
      <w:r w:rsidRPr="00DC6E2D">
        <w:rPr>
          <w:rFonts w:ascii="Courier New" w:hAnsi="Courier New" w:cs="Courier New"/>
          <w:color w:val="595959" w:themeColor="text1" w:themeTint="A6"/>
          <w:sz w:val="22"/>
          <w:szCs w:val="22"/>
        </w:rPr>
        <w:t>α</w:t>
      </w:r>
      <w:r w:rsidRPr="00DC6E2D">
        <w:rPr>
          <w:rFonts w:ascii="Bryant-Naos" w:hAnsi="Bryant-Naos"/>
          <w:color w:val="595959" w:themeColor="text1" w:themeTint="A6"/>
          <w:sz w:val="22"/>
          <w:szCs w:val="22"/>
        </w:rPr>
        <w:t xml:space="preserve"> et IL-1</w:t>
      </w:r>
      <w:r w:rsidRPr="00DC6E2D">
        <w:rPr>
          <w:rFonts w:ascii="Courier New" w:hAnsi="Courier New" w:cs="Courier New"/>
          <w:color w:val="595959" w:themeColor="text1" w:themeTint="A6"/>
          <w:sz w:val="22"/>
          <w:szCs w:val="22"/>
        </w:rPr>
        <w:t>β</w:t>
      </w:r>
      <w:r w:rsidRPr="00DC6E2D">
        <w:rPr>
          <w:rFonts w:ascii="Bryant-Naos" w:hAnsi="Bryant-Naos"/>
          <w:color w:val="595959" w:themeColor="text1" w:themeTint="A6"/>
          <w:sz w:val="22"/>
          <w:szCs w:val="22"/>
        </w:rPr>
        <w:t xml:space="preserve"> a </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d</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montr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e. L'</w:t>
      </w:r>
      <w:proofErr w:type="spellStart"/>
      <w:r w:rsidRPr="00DC6E2D">
        <w:rPr>
          <w:rFonts w:ascii="Bryant-Naos" w:hAnsi="Bryant-Naos"/>
          <w:color w:val="595959" w:themeColor="text1" w:themeTint="A6"/>
          <w:sz w:val="22"/>
          <w:szCs w:val="22"/>
        </w:rPr>
        <w:t>Apr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pitant</w:t>
      </w:r>
      <w:proofErr w:type="spellEnd"/>
      <w:r w:rsidRPr="00DC6E2D">
        <w:rPr>
          <w:rFonts w:ascii="Bryant-Naos" w:hAnsi="Bryant-Naos"/>
          <w:color w:val="595959" w:themeColor="text1" w:themeTint="A6"/>
          <w:sz w:val="22"/>
          <w:szCs w:val="22"/>
        </w:rPr>
        <w:t xml:space="preserve"> semble </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galement efficace.</w:t>
      </w:r>
    </w:p>
    <w:p w14:paraId="27D9A66E"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xml:space="preserve">Dans les syndromes d’hyperéosinophilie le mécanisme physiopathologique est connu, avec implication des voies IL-4, IL-13 et IL-5. Le </w:t>
      </w:r>
      <w:proofErr w:type="spellStart"/>
      <w:r w:rsidRPr="00DC6E2D">
        <w:rPr>
          <w:rFonts w:ascii="Bryant-Naos" w:hAnsi="Bryant-Naos"/>
          <w:color w:val="595959" w:themeColor="text1" w:themeTint="A6"/>
          <w:sz w:val="22"/>
          <w:szCs w:val="22"/>
        </w:rPr>
        <w:t>Tofacitinib</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Ruxolitinib</w:t>
      </w:r>
      <w:proofErr w:type="spellEnd"/>
      <w:r w:rsidRPr="00DC6E2D">
        <w:rPr>
          <w:rFonts w:ascii="Bryant-Naos" w:hAnsi="Bryant-Naos"/>
          <w:color w:val="595959" w:themeColor="text1" w:themeTint="A6"/>
          <w:sz w:val="22"/>
          <w:szCs w:val="22"/>
        </w:rPr>
        <w:t xml:space="preserve"> et Abrocitinib ainsi que le </w:t>
      </w:r>
      <w:proofErr w:type="spellStart"/>
      <w:r w:rsidRPr="00DC6E2D">
        <w:rPr>
          <w:rFonts w:ascii="Bryant-Naos" w:hAnsi="Bryant-Naos"/>
          <w:color w:val="595959" w:themeColor="text1" w:themeTint="A6"/>
          <w:sz w:val="22"/>
          <w:szCs w:val="22"/>
        </w:rPr>
        <w:t>Mepolizumab</w:t>
      </w:r>
      <w:proofErr w:type="spellEnd"/>
      <w:r w:rsidRPr="00DC6E2D">
        <w:rPr>
          <w:rFonts w:ascii="Bryant-Naos" w:hAnsi="Bryant-Naos"/>
          <w:color w:val="595959" w:themeColor="text1" w:themeTint="A6"/>
          <w:sz w:val="22"/>
          <w:szCs w:val="22"/>
        </w:rPr>
        <w:t xml:space="preserve"> et le </w:t>
      </w:r>
      <w:proofErr w:type="spellStart"/>
      <w:r w:rsidRPr="00DC6E2D">
        <w:rPr>
          <w:rFonts w:ascii="Bryant-Naos" w:hAnsi="Bryant-Naos"/>
          <w:color w:val="595959" w:themeColor="text1" w:themeTint="A6"/>
          <w:sz w:val="22"/>
          <w:szCs w:val="22"/>
        </w:rPr>
        <w:t>Dupilumab</w:t>
      </w:r>
      <w:proofErr w:type="spellEnd"/>
      <w:r w:rsidRPr="00DC6E2D">
        <w:rPr>
          <w:rFonts w:ascii="Bryant-Naos" w:hAnsi="Bryant-Naos"/>
          <w:color w:val="595959" w:themeColor="text1" w:themeTint="A6"/>
          <w:sz w:val="22"/>
          <w:szCs w:val="22"/>
        </w:rPr>
        <w:t xml:space="preserve"> peuvent être utilisés. Dans </w:t>
      </w:r>
      <w:proofErr w:type="gramStart"/>
      <w:r w:rsidRPr="00DC6E2D">
        <w:rPr>
          <w:rFonts w:ascii="Bryant-Naos" w:hAnsi="Bryant-Naos"/>
          <w:color w:val="595959" w:themeColor="text1" w:themeTint="A6"/>
          <w:sz w:val="22"/>
          <w:szCs w:val="22"/>
        </w:rPr>
        <w:t>les néoplasies myéloprolifératives</w:t>
      </w:r>
      <w:proofErr w:type="gramEnd"/>
      <w:r w:rsidRPr="00DC6E2D">
        <w:rPr>
          <w:rFonts w:ascii="Bryant-Naos" w:hAnsi="Bryant-Naos"/>
          <w:color w:val="595959" w:themeColor="text1" w:themeTint="A6"/>
          <w:sz w:val="22"/>
          <w:szCs w:val="22"/>
        </w:rPr>
        <w:t xml:space="preserve">, la physiopathologie reste largement inconnue. Le rôle de JAK2 demeure incertain, la mutation étant présente dans certaines thrombocytémies essentielles sans prurit </w:t>
      </w:r>
      <w:proofErr w:type="spellStart"/>
      <w:r w:rsidRPr="00DC6E2D">
        <w:rPr>
          <w:rFonts w:ascii="Bryant-Naos" w:hAnsi="Bryant-Naos"/>
          <w:color w:val="595959" w:themeColor="text1" w:themeTint="A6"/>
          <w:sz w:val="22"/>
          <w:szCs w:val="22"/>
        </w:rPr>
        <w:t>aquagénique</w:t>
      </w:r>
      <w:proofErr w:type="spellEnd"/>
      <w:r w:rsidRPr="00DC6E2D">
        <w:rPr>
          <w:rFonts w:ascii="Bryant-Naos" w:hAnsi="Bryant-Naos"/>
          <w:color w:val="595959" w:themeColor="text1" w:themeTint="A6"/>
          <w:sz w:val="22"/>
          <w:szCs w:val="22"/>
        </w:rPr>
        <w:t xml:space="preserve">, tandis qu'un prurit </w:t>
      </w:r>
      <w:proofErr w:type="spellStart"/>
      <w:r w:rsidRPr="00DC6E2D">
        <w:rPr>
          <w:rFonts w:ascii="Bryant-Naos" w:hAnsi="Bryant-Naos"/>
          <w:color w:val="595959" w:themeColor="text1" w:themeTint="A6"/>
          <w:sz w:val="22"/>
          <w:szCs w:val="22"/>
        </w:rPr>
        <w:t>aquagénique</w:t>
      </w:r>
      <w:proofErr w:type="spellEnd"/>
      <w:r w:rsidRPr="00DC6E2D">
        <w:rPr>
          <w:rFonts w:ascii="Bryant-Naos" w:hAnsi="Bryant-Naos"/>
          <w:color w:val="595959" w:themeColor="text1" w:themeTint="A6"/>
          <w:sz w:val="22"/>
          <w:szCs w:val="22"/>
        </w:rPr>
        <w:t xml:space="preserve"> peut survenir sans mutation. Les mastocytes semblent impliqués mais ne constituent pas le seul mécanisme. Les basophiles activés sont plus nombreux chez les patients présentant un prurit </w:t>
      </w:r>
      <w:proofErr w:type="spellStart"/>
      <w:r w:rsidRPr="00DC6E2D">
        <w:rPr>
          <w:rFonts w:ascii="Bryant-Naos" w:hAnsi="Bryant-Naos"/>
          <w:color w:val="595959" w:themeColor="text1" w:themeTint="A6"/>
          <w:sz w:val="22"/>
          <w:szCs w:val="22"/>
        </w:rPr>
        <w:t>aquagénique</w:t>
      </w:r>
      <w:proofErr w:type="spellEnd"/>
      <w:r w:rsidRPr="00DC6E2D">
        <w:rPr>
          <w:rFonts w:ascii="Bryant-Naos" w:hAnsi="Bryant-Naos"/>
          <w:color w:val="595959" w:themeColor="text1" w:themeTint="A6"/>
          <w:sz w:val="22"/>
          <w:szCs w:val="22"/>
        </w:rPr>
        <w:t xml:space="preserve"> et l’IL 31 semble également impliquée.</w:t>
      </w:r>
      <w:r w:rsidRPr="00DC6E2D">
        <w:rPr>
          <w:rFonts w:ascii="Bryant-Naos" w:hAnsi="Bryant-Naos"/>
          <w:color w:val="595959" w:themeColor="text1" w:themeTint="A6"/>
          <w:sz w:val="22"/>
          <w:szCs w:val="22"/>
        </w:rPr>
        <w:br/>
        <w:t>L'</w:t>
      </w:r>
      <w:proofErr w:type="spellStart"/>
      <w:r w:rsidRPr="00DC6E2D">
        <w:rPr>
          <w:rFonts w:ascii="Bryant-Naos" w:hAnsi="Bryant-Naos"/>
          <w:color w:val="595959" w:themeColor="text1" w:themeTint="A6"/>
          <w:sz w:val="22"/>
          <w:szCs w:val="22"/>
        </w:rPr>
        <w:t>Omalizumab</w:t>
      </w:r>
      <w:proofErr w:type="spellEnd"/>
      <w:r w:rsidRPr="00DC6E2D">
        <w:rPr>
          <w:rFonts w:ascii="Bryant-Naos" w:hAnsi="Bryant-Naos"/>
          <w:color w:val="595959" w:themeColor="text1" w:themeTint="A6"/>
          <w:sz w:val="22"/>
          <w:szCs w:val="22"/>
        </w:rPr>
        <w:t xml:space="preserve"> présente une efficacité modeste sans étude robuste, tandis que l'</w:t>
      </w:r>
      <w:proofErr w:type="spellStart"/>
      <w:r w:rsidRPr="00DC6E2D">
        <w:rPr>
          <w:rFonts w:ascii="Bryant-Naos" w:hAnsi="Bryant-Naos"/>
          <w:color w:val="595959" w:themeColor="text1" w:themeTint="A6"/>
          <w:sz w:val="22"/>
          <w:szCs w:val="22"/>
        </w:rPr>
        <w:t>Aprépitant</w:t>
      </w:r>
      <w:proofErr w:type="spellEnd"/>
      <w:r w:rsidRPr="00DC6E2D">
        <w:rPr>
          <w:rFonts w:ascii="Bryant-Naos" w:hAnsi="Bryant-Naos"/>
          <w:color w:val="595959" w:themeColor="text1" w:themeTint="A6"/>
          <w:sz w:val="22"/>
          <w:szCs w:val="22"/>
        </w:rPr>
        <w:t xml:space="preserve"> montre des résultats décevants. L'arsenal thérapeutique classique comprend les traitements symptomatiques comme les antihistaminiques, la </w:t>
      </w:r>
      <w:proofErr w:type="spellStart"/>
      <w:r w:rsidRPr="00DC6E2D">
        <w:rPr>
          <w:rFonts w:ascii="Bryant-Naos" w:hAnsi="Bryant-Naos"/>
          <w:color w:val="595959" w:themeColor="text1" w:themeTint="A6"/>
          <w:sz w:val="22"/>
          <w:szCs w:val="22"/>
        </w:rPr>
        <w:t>Prégabaline</w:t>
      </w:r>
      <w:proofErr w:type="spellEnd"/>
      <w:r w:rsidRPr="00DC6E2D">
        <w:rPr>
          <w:rFonts w:ascii="Bryant-Naos" w:hAnsi="Bryant-Naos"/>
          <w:color w:val="595959" w:themeColor="text1" w:themeTint="A6"/>
          <w:sz w:val="22"/>
          <w:szCs w:val="22"/>
        </w:rPr>
        <w:t xml:space="preserve">, la </w:t>
      </w:r>
      <w:proofErr w:type="spellStart"/>
      <w:r w:rsidRPr="00DC6E2D">
        <w:rPr>
          <w:rFonts w:ascii="Bryant-Naos" w:hAnsi="Bryant-Naos"/>
          <w:color w:val="595959" w:themeColor="text1" w:themeTint="A6"/>
          <w:sz w:val="22"/>
          <w:szCs w:val="22"/>
        </w:rPr>
        <w:t>Naltrexone</w:t>
      </w:r>
      <w:proofErr w:type="spellEnd"/>
      <w:r w:rsidRPr="00DC6E2D">
        <w:rPr>
          <w:rFonts w:ascii="Bryant-Naos" w:hAnsi="Bryant-Naos"/>
          <w:color w:val="595959" w:themeColor="text1" w:themeTint="A6"/>
          <w:sz w:val="22"/>
          <w:szCs w:val="22"/>
        </w:rPr>
        <w:t xml:space="preserve"> et la photothérapie. Le prurit n’est pas un simple symptôme dans les hémopathies mais il reste trop peu étudié avec une physiopathologie méconnue avec une implication majeure du système immunitaire.</w:t>
      </w:r>
    </w:p>
    <w:p w14:paraId="220618BB" w14:textId="77777777" w:rsidR="00BB0D12" w:rsidRPr="00BB0D12" w:rsidRDefault="00BB0D12" w:rsidP="00DC6E2D">
      <w:pPr>
        <w:rPr>
          <w:rFonts w:ascii="Bryant-Naos Bold" w:hAnsi="Bryant-Naos Bold"/>
          <w:b/>
          <w:bCs/>
          <w:color w:val="595959" w:themeColor="text1" w:themeTint="A6"/>
          <w:sz w:val="52"/>
          <w:szCs w:val="52"/>
        </w:rPr>
      </w:pPr>
    </w:p>
    <w:p w14:paraId="25EF5783" w14:textId="77777777" w:rsidR="00BB0D12" w:rsidRDefault="00BB0D12" w:rsidP="00DC6E2D">
      <w:pPr>
        <w:rPr>
          <w:rFonts w:ascii="Bryant-Naos Bold" w:hAnsi="Bryant-Naos Bold"/>
          <w:b/>
          <w:bCs/>
          <w:color w:val="004F88"/>
          <w:sz w:val="52"/>
          <w:szCs w:val="52"/>
        </w:rPr>
      </w:pPr>
    </w:p>
    <w:p w14:paraId="63D29E07" w14:textId="5EEF85DD" w:rsidR="00DC6E2D" w:rsidRPr="00DC6E2D" w:rsidRDefault="00DC6E2D" w:rsidP="00DC6E2D">
      <w:pPr>
        <w:rPr>
          <w:rFonts w:ascii="Bryant-Naos Bold" w:hAnsi="Bryant-Naos Bold"/>
          <w:b/>
          <w:bCs/>
          <w:color w:val="004F88"/>
          <w:sz w:val="52"/>
          <w:szCs w:val="52"/>
        </w:rPr>
      </w:pPr>
      <w:r w:rsidRPr="00DC6E2D">
        <w:rPr>
          <w:rFonts w:ascii="Bryant-Naos Bold" w:hAnsi="Bryant-Naos Bold"/>
          <w:b/>
          <w:bCs/>
          <w:color w:val="004F88"/>
          <w:sz w:val="52"/>
          <w:szCs w:val="52"/>
        </w:rPr>
        <w:t>Prurigo nodulaire</w:t>
      </w:r>
    </w:p>
    <w:p w14:paraId="22056B1B"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lastRenderedPageBreak/>
        <w:t>Intervenant : Emilie Brenaut</w:t>
      </w:r>
    </w:p>
    <w:p w14:paraId="44EAA840"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Le prurigo nodulaire est une affection très ancienne mais dont la définition et la physiopathologie</w:t>
      </w:r>
      <w:r w:rsidRPr="00DC6E2D">
        <w:rPr>
          <w:rFonts w:ascii="Bryant-Naos" w:hAnsi="Bryant-Naos"/>
          <w:color w:val="595959" w:themeColor="text1" w:themeTint="A6"/>
          <w:sz w:val="22"/>
          <w:szCs w:val="22"/>
        </w:rPr>
        <w:br/>
        <w:t>sont restées longtemps floues. La définition repose sur trois critères majeurs : prurit chronique, signes de grattage, et lésions cutanées localisées ou généralisées. Les causes sont multiples : dermatologiques, systémiques, neurologiques, psychogènes ou autres mais l’évolution est dominée par un cercle vicieux prurit–grattage–sensibilisation, conduisant à la chronicisation des lésions.</w:t>
      </w:r>
    </w:p>
    <w:p w14:paraId="794576FD"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La maladie touche préférentiellement l’adulte d’âge moyen (50 ans), avec une prédominance féminine, pour une prévalence estimée à 0,35 %. Les comorbidités sont fréquentes, notamment l’hypertension artérielle, la dyslipidémie et la dépression. Une atopie associée est retrouvée chez environ 33 % des patients. Plusieurs formes cliniques sont décrites : nodulaire, papuleuse, en plaques, ombiliquée ou linéaire, prédominant en général aux racines des membres.</w:t>
      </w:r>
      <w:r w:rsidRPr="00DC6E2D">
        <w:rPr>
          <w:rFonts w:ascii="Bryant-Naos" w:hAnsi="Bryant-Naos"/>
          <w:color w:val="595959" w:themeColor="text1" w:themeTint="A6"/>
          <w:sz w:val="22"/>
          <w:szCs w:val="22"/>
        </w:rPr>
        <w:br/>
        <w:t>Le diagnostic impose l’élimination de nombreux diagnostics différentiels (l’eczéma, les lymphomes cutanés, le prurit psychogène, la pemphigoïde nodulaire, le prurigo actinique, l’épidermolyse bulleuse, le lichen plan hypertrophique, gale,) Le bilan étiologique vise à rechercher une dermatose sous-jacente ou une cause systémique de prurit. Il peut comprendre un bilan biologique, une imagerie orientée et dans certains cas, une biopsie cutanée avec recherche de neuropathie des petites fibres et de pemphigoïde pré bulleuse. Toutefois, ce bilan reste débattu, et le traitement de la cause identifiée n’entraîne pas toujours une amélioration, en raison de l’autonomisation du cercle vicieux prurit–grattage. Le prurigo nodulaire a un retentissement majeur sur la qualité de vie, lié à l’intensité du prurit, à la visibilité des lésions et aux saignements.</w:t>
      </w:r>
    </w:p>
    <w:p w14:paraId="78F2BCA5"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L’impact psychologique est important, plus encore que chez les patients atteints d’eczéma ou de psoriasis. La perte de qualité de vie est supérieure à celle observée chez les patients hémodialysés, avec une stigmatisation plus marquée que dans la pelade ou le vitiligo et un impact économique significatif.</w:t>
      </w:r>
    </w:p>
    <w:p w14:paraId="133C0626"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xml:space="preserve">Sur le plan thérapeutique, les recommandations de 2020 sont en train d'être réécrites devant les nombreuses avancées thérapeutiques. Les thérapeutiques peuvent cibler le système nerveux, avec par exemple la nalbuphine, (agoniste </w:t>
      </w:r>
      <w:r w:rsidRPr="00DC6E2D">
        <w:rPr>
          <w:rFonts w:ascii="Courier New" w:hAnsi="Courier New" w:cs="Courier New"/>
          <w:color w:val="595959" w:themeColor="text1" w:themeTint="A6"/>
          <w:sz w:val="22"/>
          <w:szCs w:val="22"/>
        </w:rPr>
        <w:t>κ</w:t>
      </w:r>
      <w:r w:rsidRPr="00DC6E2D">
        <w:rPr>
          <w:rFonts w:ascii="Bryant-Naos" w:hAnsi="Bryant-Naos"/>
          <w:color w:val="595959" w:themeColor="text1" w:themeTint="A6"/>
          <w:sz w:val="22"/>
          <w:szCs w:val="22"/>
        </w:rPr>
        <w:t>-opio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de) mais qui a montr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une efficacit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 limit</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e et des effets ind</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sirables importants. Les traitements peuvent </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galement cibler le syst</w:t>
      </w:r>
      <w:r w:rsidRPr="00DC6E2D">
        <w:rPr>
          <w:rFonts w:ascii="Bryant-Naos" w:hAnsi="Bryant-Naos" w:cs="Bryant-Naos"/>
          <w:color w:val="595959" w:themeColor="text1" w:themeTint="A6"/>
          <w:sz w:val="22"/>
          <w:szCs w:val="22"/>
        </w:rPr>
        <w:t>è</w:t>
      </w:r>
      <w:r w:rsidRPr="00DC6E2D">
        <w:rPr>
          <w:rFonts w:ascii="Bryant-Naos" w:hAnsi="Bryant-Naos"/>
          <w:color w:val="595959" w:themeColor="text1" w:themeTint="A6"/>
          <w:sz w:val="22"/>
          <w:szCs w:val="22"/>
        </w:rPr>
        <w:t xml:space="preserve">me immunitaire comme avec le </w:t>
      </w:r>
      <w:proofErr w:type="spellStart"/>
      <w:r w:rsidRPr="00DC6E2D">
        <w:rPr>
          <w:rFonts w:ascii="Bryant-Naos" w:hAnsi="Bryant-Naos"/>
          <w:color w:val="595959" w:themeColor="text1" w:themeTint="A6"/>
          <w:sz w:val="22"/>
          <w:szCs w:val="22"/>
        </w:rPr>
        <w:t>Dupilumab</w:t>
      </w:r>
      <w:proofErr w:type="spellEnd"/>
      <w:r w:rsidRPr="00DC6E2D">
        <w:rPr>
          <w:rFonts w:ascii="Bryant-Naos" w:hAnsi="Bryant-Naos"/>
          <w:color w:val="595959" w:themeColor="text1" w:themeTint="A6"/>
          <w:sz w:val="22"/>
          <w:szCs w:val="22"/>
        </w:rPr>
        <w:t xml:space="preserve"> (antagoniste du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cepteur IL-4) ou le </w:t>
      </w:r>
      <w:proofErr w:type="spellStart"/>
      <w:r w:rsidRPr="00DC6E2D">
        <w:rPr>
          <w:rFonts w:ascii="Bryant-Naos" w:hAnsi="Bryant-Naos"/>
          <w:color w:val="595959" w:themeColor="text1" w:themeTint="A6"/>
          <w:sz w:val="22"/>
          <w:szCs w:val="22"/>
        </w:rPr>
        <w:t>Nemolizumab</w:t>
      </w:r>
      <w:proofErr w:type="spellEnd"/>
      <w:r w:rsidRPr="00DC6E2D">
        <w:rPr>
          <w:rFonts w:ascii="Bryant-Naos" w:hAnsi="Bryant-Naos"/>
          <w:color w:val="595959" w:themeColor="text1" w:themeTint="A6"/>
          <w:sz w:val="22"/>
          <w:szCs w:val="22"/>
        </w:rPr>
        <w:t xml:space="preserve"> (agoniste du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cepteur de l</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IL 31). D</w:t>
      </w:r>
      <w:r w:rsidRPr="00DC6E2D">
        <w:rPr>
          <w:rFonts w:ascii="Bryant-Naos" w:hAnsi="Bryant-Naos" w:cs="Bryant-Naos"/>
          <w:color w:val="595959" w:themeColor="text1" w:themeTint="A6"/>
          <w:sz w:val="22"/>
          <w:szCs w:val="22"/>
        </w:rPr>
        <w:t>’</w:t>
      </w:r>
      <w:r w:rsidRPr="00DC6E2D">
        <w:rPr>
          <w:rFonts w:ascii="Bryant-Naos" w:hAnsi="Bryant-Naos"/>
          <w:color w:val="595959" w:themeColor="text1" w:themeTint="A6"/>
          <w:sz w:val="22"/>
          <w:szCs w:val="22"/>
        </w:rPr>
        <w:t xml:space="preserve">autres traitements sont en développement avec notamment : le </w:t>
      </w:r>
      <w:proofErr w:type="spellStart"/>
      <w:r w:rsidRPr="00DC6E2D">
        <w:rPr>
          <w:rFonts w:ascii="Bryant-Naos" w:hAnsi="Bryant-Naos"/>
          <w:color w:val="595959" w:themeColor="text1" w:themeTint="A6"/>
          <w:sz w:val="22"/>
          <w:szCs w:val="22"/>
        </w:rPr>
        <w:t>Povorcitinib</w:t>
      </w:r>
      <w:proofErr w:type="spellEnd"/>
      <w:r w:rsidRPr="00DC6E2D">
        <w:rPr>
          <w:rFonts w:ascii="Bryant-Naos" w:hAnsi="Bryant-Naos"/>
          <w:color w:val="595959" w:themeColor="text1" w:themeTint="A6"/>
          <w:sz w:val="22"/>
          <w:szCs w:val="22"/>
        </w:rPr>
        <w:t xml:space="preserve"> (anti-JAK1, phase III), l’Abrocitinib (anti-JAK1, études ouvertes), le </w:t>
      </w:r>
      <w:proofErr w:type="spellStart"/>
      <w:r w:rsidRPr="00DC6E2D">
        <w:rPr>
          <w:rFonts w:ascii="Bryant-Naos" w:hAnsi="Bryant-Naos"/>
          <w:color w:val="595959" w:themeColor="text1" w:themeTint="A6"/>
          <w:sz w:val="22"/>
          <w:szCs w:val="22"/>
        </w:rPr>
        <w:t>Barzolvolimab</w:t>
      </w:r>
      <w:proofErr w:type="spellEnd"/>
      <w:r w:rsidRPr="00DC6E2D">
        <w:rPr>
          <w:rFonts w:ascii="Bryant-Naos" w:hAnsi="Bryant-Naos"/>
          <w:color w:val="595959" w:themeColor="text1" w:themeTint="A6"/>
          <w:sz w:val="22"/>
          <w:szCs w:val="22"/>
        </w:rPr>
        <w:t xml:space="preserve"> (antagoniste KIT, 57 % de réponse à S8) ou le </w:t>
      </w:r>
      <w:proofErr w:type="spellStart"/>
      <w:r w:rsidRPr="00DC6E2D">
        <w:rPr>
          <w:rFonts w:ascii="Bryant-Naos" w:hAnsi="Bryant-Naos"/>
          <w:color w:val="595959" w:themeColor="text1" w:themeTint="A6"/>
          <w:sz w:val="22"/>
          <w:szCs w:val="22"/>
        </w:rPr>
        <w:t>Ruxolitinib</w:t>
      </w:r>
      <w:proofErr w:type="spellEnd"/>
      <w:r w:rsidRPr="00DC6E2D">
        <w:rPr>
          <w:rFonts w:ascii="Bryant-Naos" w:hAnsi="Bryant-Naos"/>
          <w:color w:val="595959" w:themeColor="text1" w:themeTint="A6"/>
          <w:sz w:val="22"/>
          <w:szCs w:val="22"/>
        </w:rPr>
        <w:t xml:space="preserve"> topique.</w:t>
      </w:r>
    </w:p>
    <w:p w14:paraId="00C48B31"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 xml:space="preserve">Le prurigo nodulaire est aujourd’hui mieux caractérisé, avec un retentissement majeur sur la qualité de vie mais des perspectives thérapeutiques prometteuses, notamment avec le </w:t>
      </w:r>
      <w:proofErr w:type="spellStart"/>
      <w:r w:rsidRPr="00DC6E2D">
        <w:rPr>
          <w:rFonts w:ascii="Bryant-Naos" w:hAnsi="Bryant-Naos"/>
          <w:color w:val="595959" w:themeColor="text1" w:themeTint="A6"/>
          <w:sz w:val="22"/>
          <w:szCs w:val="22"/>
        </w:rPr>
        <w:t>Dupilumab</w:t>
      </w:r>
      <w:proofErr w:type="spellEnd"/>
      <w:r w:rsidRPr="00DC6E2D">
        <w:rPr>
          <w:rFonts w:ascii="Bryant-Naos" w:hAnsi="Bryant-Naos"/>
          <w:color w:val="595959" w:themeColor="text1" w:themeTint="A6"/>
          <w:sz w:val="22"/>
          <w:szCs w:val="22"/>
        </w:rPr>
        <w:t xml:space="preserve">, le </w:t>
      </w:r>
      <w:proofErr w:type="spellStart"/>
      <w:r w:rsidRPr="00DC6E2D">
        <w:rPr>
          <w:rFonts w:ascii="Bryant-Naos" w:hAnsi="Bryant-Naos"/>
          <w:color w:val="595959" w:themeColor="text1" w:themeTint="A6"/>
          <w:sz w:val="22"/>
          <w:szCs w:val="22"/>
        </w:rPr>
        <w:t>Némolizumab</w:t>
      </w:r>
      <w:proofErr w:type="spellEnd"/>
      <w:r w:rsidRPr="00DC6E2D">
        <w:rPr>
          <w:rFonts w:ascii="Bryant-Naos" w:hAnsi="Bryant-Naos"/>
          <w:color w:val="595959" w:themeColor="text1" w:themeTint="A6"/>
          <w:sz w:val="22"/>
          <w:szCs w:val="22"/>
        </w:rPr>
        <w:t xml:space="preserve"> et les thérapeutiques en développement comme les anti JAK.</w:t>
      </w:r>
    </w:p>
    <w:p w14:paraId="0F1C90CC" w14:textId="77777777" w:rsidR="00DC6E2D" w:rsidRPr="00DC6E2D" w:rsidRDefault="00DC6E2D" w:rsidP="00DC6E2D">
      <w:pPr>
        <w:rPr>
          <w:rFonts w:ascii="Bryant-Naos Bold" w:hAnsi="Bryant-Naos Bold"/>
          <w:color w:val="004F88"/>
          <w:sz w:val="52"/>
          <w:szCs w:val="52"/>
        </w:rPr>
      </w:pPr>
      <w:r w:rsidRPr="00DC6E2D">
        <w:rPr>
          <w:rFonts w:ascii="Bryant-Naos Bold" w:hAnsi="Bryant-Naos Bold"/>
          <w:color w:val="004F88"/>
          <w:sz w:val="52"/>
          <w:szCs w:val="52"/>
        </w:rPr>
        <w:lastRenderedPageBreak/>
        <w:t>Panorama thérapeutique</w:t>
      </w:r>
    </w:p>
    <w:p w14:paraId="55EBAC37"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Intervenant : Laurent Misery</w:t>
      </w:r>
    </w:p>
    <w:p w14:paraId="4D3A919C"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Le prurit est désormais conceptualisé comme une véritable maladie lorsqu'il persiste au-delà de 6 semaines, caractérisée par des modifications structurales du système neuronal et une altération majeure de la qualité de vie. Il se définit par une sensation désagréable cutanée générant un besoin de se gratter, le grattage procurant temporairement un soulagement agréable. La souffrance induite par le prurit est comparable, voire supérieure, à celle de la douleur mais c’est une pathologie pourtant beaucoup moins étudiée.</w:t>
      </w:r>
    </w:p>
    <w:p w14:paraId="5AF0E4BD"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Le traitement étiologique demeure la priorité absolue. Un obstacle majeur à l'évaluation thérapeutique réside dans l'effet placebo particulièrement élevé, oscillant entre 30 et 70%, complexifiant la mise en évidence de la significativité statistique dans les essais cliniques.</w:t>
      </w:r>
      <w:r w:rsidRPr="00DC6E2D">
        <w:rPr>
          <w:rFonts w:ascii="Bryant-Naos" w:hAnsi="Bryant-Naos"/>
          <w:color w:val="595959" w:themeColor="text1" w:themeTint="A6"/>
          <w:sz w:val="22"/>
          <w:szCs w:val="22"/>
        </w:rPr>
        <w:br/>
        <w:t xml:space="preserve">Les traitements locaux sont indiqués uniquement dans les contextes dermatologiques ou neuropathiques. Les dermocorticoïdes sont prescrits en cas de dermatose inflammatoire. Le tacrolimus constitue une alternative. Le </w:t>
      </w:r>
      <w:proofErr w:type="spellStart"/>
      <w:r w:rsidRPr="00DC6E2D">
        <w:rPr>
          <w:rFonts w:ascii="Bryant-Naos" w:hAnsi="Bryant-Naos"/>
          <w:color w:val="595959" w:themeColor="text1" w:themeTint="A6"/>
          <w:sz w:val="22"/>
          <w:szCs w:val="22"/>
        </w:rPr>
        <w:t>Ruxolitinib</w:t>
      </w:r>
      <w:proofErr w:type="spellEnd"/>
      <w:r w:rsidRPr="00DC6E2D">
        <w:rPr>
          <w:rFonts w:ascii="Bryant-Naos" w:hAnsi="Bryant-Naos"/>
          <w:color w:val="595959" w:themeColor="text1" w:themeTint="A6"/>
          <w:sz w:val="22"/>
          <w:szCs w:val="22"/>
        </w:rPr>
        <w:t xml:space="preserve">, bien qu'utilisé hors AMM dans le prurit de la dermatite </w:t>
      </w:r>
      <w:proofErr w:type="spellStart"/>
      <w:r w:rsidRPr="00DC6E2D">
        <w:rPr>
          <w:rFonts w:ascii="Bryant-Naos" w:hAnsi="Bryant-Naos"/>
          <w:color w:val="595959" w:themeColor="text1" w:themeTint="A6"/>
          <w:sz w:val="22"/>
          <w:szCs w:val="22"/>
        </w:rPr>
        <w:t>atopique</w:t>
      </w:r>
      <w:proofErr w:type="spellEnd"/>
      <w:r w:rsidRPr="00DC6E2D">
        <w:rPr>
          <w:rFonts w:ascii="Bryant-Naos" w:hAnsi="Bryant-Naos"/>
          <w:color w:val="595959" w:themeColor="text1" w:themeTint="A6"/>
          <w:sz w:val="22"/>
          <w:szCs w:val="22"/>
        </w:rPr>
        <w:t xml:space="preserve">, et le </w:t>
      </w:r>
      <w:proofErr w:type="spellStart"/>
      <w:r w:rsidRPr="00DC6E2D">
        <w:rPr>
          <w:rFonts w:ascii="Bryant-Naos" w:hAnsi="Bryant-Naos"/>
          <w:color w:val="595959" w:themeColor="text1" w:themeTint="A6"/>
          <w:sz w:val="22"/>
          <w:szCs w:val="22"/>
        </w:rPr>
        <w:t>Delgocitinib</w:t>
      </w:r>
      <w:proofErr w:type="spellEnd"/>
      <w:r w:rsidRPr="00DC6E2D">
        <w:rPr>
          <w:rFonts w:ascii="Bryant-Naos" w:hAnsi="Bryant-Naos"/>
          <w:color w:val="595959" w:themeColor="text1" w:themeTint="A6"/>
          <w:sz w:val="22"/>
          <w:szCs w:val="22"/>
        </w:rPr>
        <w:t xml:space="preserve"> (disposant d'une AMM pour l'eczéma chronique des mains) représentent des options émergentes. Les inhibiteurs de PDE4 par voie topique sont également disponibles. Les traitements ciblant les récepteurs sensoriels incluent la capsaïcine et le menthol. Le </w:t>
      </w:r>
      <w:proofErr w:type="spellStart"/>
      <w:r w:rsidRPr="00DC6E2D">
        <w:rPr>
          <w:rFonts w:ascii="Bryant-Naos" w:hAnsi="Bryant-Naos"/>
          <w:color w:val="595959" w:themeColor="text1" w:themeTint="A6"/>
          <w:sz w:val="22"/>
          <w:szCs w:val="22"/>
        </w:rPr>
        <w:t>Versatis</w:t>
      </w:r>
      <w:proofErr w:type="spellEnd"/>
      <w:r w:rsidRPr="00DC6E2D">
        <w:rPr>
          <w:rFonts w:ascii="Bryant-Naos" w:hAnsi="Bryant-Naos"/>
          <w:color w:val="595959" w:themeColor="text1" w:themeTint="A6"/>
          <w:sz w:val="22"/>
          <w:szCs w:val="22"/>
        </w:rPr>
        <w:t xml:space="preserve"> (lidocaïne, bloqueur des canaux sodiques) peut être utilisé mais pas sur le long terme.</w:t>
      </w:r>
    </w:p>
    <w:p w14:paraId="6684030B"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br/>
        <w:t>L'arsenal thérapeutique systémique s'est considérablement enrichi. Les antihistaminiques ne conservent leur efficacité que dans l'urticaire histaminique, agissant essentiellement comme placebo dans les autres contextes. Les inhibiteurs NK1 comme l'</w:t>
      </w:r>
      <w:proofErr w:type="spellStart"/>
      <w:r w:rsidRPr="00DC6E2D">
        <w:rPr>
          <w:rFonts w:ascii="Bryant-Naos" w:hAnsi="Bryant-Naos"/>
          <w:color w:val="595959" w:themeColor="text1" w:themeTint="A6"/>
          <w:sz w:val="22"/>
          <w:szCs w:val="22"/>
        </w:rPr>
        <w:t>Aprépitant</w:t>
      </w:r>
      <w:proofErr w:type="spellEnd"/>
      <w:r w:rsidRPr="00DC6E2D">
        <w:rPr>
          <w:rFonts w:ascii="Bryant-Naos" w:hAnsi="Bryant-Naos"/>
          <w:color w:val="595959" w:themeColor="text1" w:themeTint="A6"/>
          <w:sz w:val="22"/>
          <w:szCs w:val="22"/>
        </w:rPr>
        <w:t xml:space="preserve"> montrent une efficacité limitée, possiblement en raison de l'existence d'autres récepteurs à la substance P. Les inhibiteurs de cytokines constituent une avancée majeure : </w:t>
      </w:r>
      <w:proofErr w:type="spellStart"/>
      <w:r w:rsidRPr="00DC6E2D">
        <w:rPr>
          <w:rFonts w:ascii="Bryant-Naos" w:hAnsi="Bryant-Naos"/>
          <w:color w:val="595959" w:themeColor="text1" w:themeTint="A6"/>
          <w:sz w:val="22"/>
          <w:szCs w:val="22"/>
        </w:rPr>
        <w:t>Dupilumab</w:t>
      </w:r>
      <w:proofErr w:type="spellEnd"/>
      <w:r w:rsidRPr="00DC6E2D">
        <w:rPr>
          <w:rFonts w:ascii="Bryant-Naos" w:hAnsi="Bryant-Naos"/>
          <w:color w:val="595959" w:themeColor="text1" w:themeTint="A6"/>
          <w:sz w:val="22"/>
          <w:szCs w:val="22"/>
        </w:rPr>
        <w:t xml:space="preserve"> et Nemolizumab ayant l’AMM.</w:t>
      </w:r>
      <w:r w:rsidRPr="00DC6E2D">
        <w:rPr>
          <w:rFonts w:ascii="Bryant-Naos" w:hAnsi="Bryant-Naos"/>
          <w:color w:val="595959" w:themeColor="text1" w:themeTint="A6"/>
          <w:sz w:val="22"/>
          <w:szCs w:val="22"/>
        </w:rPr>
        <w:br/>
        <w:t>Les inhibiteurs JAK se déclinent selon leur sélectivité : JAK3 (</w:t>
      </w:r>
      <w:proofErr w:type="spellStart"/>
      <w:r w:rsidRPr="00DC6E2D">
        <w:rPr>
          <w:rFonts w:ascii="Bryant-Naos" w:hAnsi="Bryant-Naos"/>
          <w:color w:val="595959" w:themeColor="text1" w:themeTint="A6"/>
          <w:sz w:val="22"/>
          <w:szCs w:val="22"/>
        </w:rPr>
        <w:t>Ritlecitinib</w:t>
      </w:r>
      <w:proofErr w:type="spellEnd"/>
      <w:r w:rsidRPr="00DC6E2D">
        <w:rPr>
          <w:rFonts w:ascii="Bryant-Naos" w:hAnsi="Bryant-Naos"/>
          <w:color w:val="595959" w:themeColor="text1" w:themeTint="A6"/>
          <w:sz w:val="22"/>
          <w:szCs w:val="22"/>
        </w:rPr>
        <w:t>), TYK2 (</w:t>
      </w:r>
      <w:proofErr w:type="spellStart"/>
      <w:r w:rsidRPr="00DC6E2D">
        <w:rPr>
          <w:rFonts w:ascii="Bryant-Naos" w:hAnsi="Bryant-Naos"/>
          <w:color w:val="595959" w:themeColor="text1" w:themeTint="A6"/>
          <w:sz w:val="22"/>
          <w:szCs w:val="22"/>
        </w:rPr>
        <w:t>Deucravacitinib</w:t>
      </w:r>
      <w:proofErr w:type="spellEnd"/>
      <w:r w:rsidRPr="00DC6E2D">
        <w:rPr>
          <w:rFonts w:ascii="Bryant-Naos" w:hAnsi="Bryant-Naos"/>
          <w:color w:val="595959" w:themeColor="text1" w:themeTint="A6"/>
          <w:sz w:val="22"/>
          <w:szCs w:val="22"/>
        </w:rPr>
        <w:t xml:space="preserve"> ciblant l'IL-13), JAK1 (Abrocitinib, </w:t>
      </w:r>
      <w:proofErr w:type="spellStart"/>
      <w:r w:rsidRPr="00DC6E2D">
        <w:rPr>
          <w:rFonts w:ascii="Bryant-Naos" w:hAnsi="Bryant-Naos"/>
          <w:color w:val="595959" w:themeColor="text1" w:themeTint="A6"/>
          <w:sz w:val="22"/>
          <w:szCs w:val="22"/>
        </w:rPr>
        <w:t>Upadacitinib</w:t>
      </w:r>
      <w:proofErr w:type="spellEnd"/>
      <w:r w:rsidRPr="00DC6E2D">
        <w:rPr>
          <w:rFonts w:ascii="Bryant-Naos" w:hAnsi="Bryant-Naos"/>
          <w:color w:val="595959" w:themeColor="text1" w:themeTint="A6"/>
          <w:sz w:val="22"/>
          <w:szCs w:val="22"/>
        </w:rPr>
        <w:t>), et pan-JAK (</w:t>
      </w:r>
      <w:proofErr w:type="spellStart"/>
      <w:r w:rsidRPr="00DC6E2D">
        <w:rPr>
          <w:rFonts w:ascii="Bryant-Naos" w:hAnsi="Bryant-Naos"/>
          <w:color w:val="595959" w:themeColor="text1" w:themeTint="A6"/>
          <w:sz w:val="22"/>
          <w:szCs w:val="22"/>
        </w:rPr>
        <w:t>Tofacitinib</w:t>
      </w:r>
      <w:proofErr w:type="spellEnd"/>
      <w:r w:rsidRPr="00DC6E2D">
        <w:rPr>
          <w:rFonts w:ascii="Bryant-Naos" w:hAnsi="Bryant-Naos"/>
          <w:color w:val="595959" w:themeColor="text1" w:themeTint="A6"/>
          <w:sz w:val="22"/>
          <w:szCs w:val="22"/>
        </w:rPr>
        <w:t xml:space="preserve">, </w:t>
      </w:r>
      <w:proofErr w:type="spellStart"/>
      <w:r w:rsidRPr="00DC6E2D">
        <w:rPr>
          <w:rFonts w:ascii="Bryant-Naos" w:hAnsi="Bryant-Naos"/>
          <w:color w:val="595959" w:themeColor="text1" w:themeTint="A6"/>
          <w:sz w:val="22"/>
          <w:szCs w:val="22"/>
        </w:rPr>
        <w:t>Baricitinib</w:t>
      </w:r>
      <w:proofErr w:type="spellEnd"/>
      <w:r w:rsidRPr="00DC6E2D">
        <w:rPr>
          <w:rFonts w:ascii="Bryant-Naos" w:hAnsi="Bryant-Naos"/>
          <w:color w:val="595959" w:themeColor="text1" w:themeTint="A6"/>
          <w:sz w:val="22"/>
          <w:szCs w:val="22"/>
        </w:rPr>
        <w:t xml:space="preserve">). Les antagonistes des récepteurs </w:t>
      </w:r>
      <w:r w:rsidRPr="00DC6E2D">
        <w:rPr>
          <w:rFonts w:ascii="Courier New" w:hAnsi="Courier New" w:cs="Courier New"/>
          <w:color w:val="595959" w:themeColor="text1" w:themeTint="A6"/>
          <w:sz w:val="22"/>
          <w:szCs w:val="22"/>
        </w:rPr>
        <w:t>μ</w:t>
      </w:r>
      <w:r w:rsidRPr="00DC6E2D">
        <w:rPr>
          <w:rFonts w:ascii="Bryant-Naos" w:hAnsi="Bryant-Naos"/>
          <w:color w:val="595959" w:themeColor="text1" w:themeTint="A6"/>
          <w:sz w:val="22"/>
          <w:szCs w:val="22"/>
        </w:rPr>
        <w:t xml:space="preserve"> opio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des (</w:t>
      </w:r>
      <w:proofErr w:type="spellStart"/>
      <w:r w:rsidRPr="00DC6E2D">
        <w:rPr>
          <w:rFonts w:ascii="Bryant-Naos" w:hAnsi="Bryant-Naos"/>
          <w:color w:val="595959" w:themeColor="text1" w:themeTint="A6"/>
          <w:sz w:val="22"/>
          <w:szCs w:val="22"/>
        </w:rPr>
        <w:t>Naltrexone</w:t>
      </w:r>
      <w:proofErr w:type="spellEnd"/>
      <w:r w:rsidRPr="00DC6E2D">
        <w:rPr>
          <w:rFonts w:ascii="Bryant-Naos" w:hAnsi="Bryant-Naos"/>
          <w:color w:val="595959" w:themeColor="text1" w:themeTint="A6"/>
          <w:sz w:val="22"/>
          <w:szCs w:val="22"/>
        </w:rPr>
        <w:t>) et les agonistes des 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cepteurs kappa (</w:t>
      </w:r>
      <w:proofErr w:type="spellStart"/>
      <w:r w:rsidRPr="00DC6E2D">
        <w:rPr>
          <w:rFonts w:ascii="Bryant-Naos" w:hAnsi="Bryant-Naos"/>
          <w:color w:val="595959" w:themeColor="text1" w:themeTint="A6"/>
          <w:sz w:val="22"/>
          <w:szCs w:val="22"/>
        </w:rPr>
        <w:t>Dif</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lik</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faline</w:t>
      </w:r>
      <w:proofErr w:type="spellEnd"/>
      <w:r w:rsidRPr="00DC6E2D">
        <w:rPr>
          <w:rFonts w:ascii="Bryant-Naos" w:hAnsi="Bryant-Naos"/>
          <w:color w:val="595959" w:themeColor="text1" w:themeTint="A6"/>
          <w:sz w:val="22"/>
          <w:szCs w:val="22"/>
        </w:rPr>
        <w:t>) offrent des m</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 xml:space="preserve">canismes d'action originaux. Les </w:t>
      </w:r>
      <w:proofErr w:type="spellStart"/>
      <w:r w:rsidRPr="00DC6E2D">
        <w:rPr>
          <w:rFonts w:ascii="Bryant-Naos" w:hAnsi="Bryant-Naos"/>
          <w:color w:val="595959" w:themeColor="text1" w:themeTint="A6"/>
          <w:sz w:val="22"/>
          <w:szCs w:val="22"/>
        </w:rPr>
        <w:t>gabapentino</w:t>
      </w:r>
      <w:r w:rsidRPr="00DC6E2D">
        <w:rPr>
          <w:rFonts w:ascii="Bryant-Naos" w:hAnsi="Bryant-Naos" w:cs="Bryant-Naos"/>
          <w:color w:val="595959" w:themeColor="text1" w:themeTint="A6"/>
          <w:sz w:val="22"/>
          <w:szCs w:val="22"/>
        </w:rPr>
        <w:t>ï</w:t>
      </w:r>
      <w:r w:rsidRPr="00DC6E2D">
        <w:rPr>
          <w:rFonts w:ascii="Bryant-Naos" w:hAnsi="Bryant-Naos"/>
          <w:color w:val="595959" w:themeColor="text1" w:themeTint="A6"/>
          <w:sz w:val="22"/>
          <w:szCs w:val="22"/>
        </w:rPr>
        <w:t>des</w:t>
      </w:r>
      <w:proofErr w:type="spellEnd"/>
      <w:r w:rsidRPr="00DC6E2D">
        <w:rPr>
          <w:rFonts w:ascii="Bryant-Naos" w:hAnsi="Bryant-Naos"/>
          <w:color w:val="595959" w:themeColor="text1" w:themeTint="A6"/>
          <w:sz w:val="22"/>
          <w:szCs w:val="22"/>
        </w:rPr>
        <w:t xml:space="preserve"> (Gabapentine, </w:t>
      </w:r>
      <w:proofErr w:type="spellStart"/>
      <w:r w:rsidRPr="00DC6E2D">
        <w:rPr>
          <w:rFonts w:ascii="Bryant-Naos" w:hAnsi="Bryant-Naos"/>
          <w:color w:val="595959" w:themeColor="text1" w:themeTint="A6"/>
          <w:sz w:val="22"/>
          <w:szCs w:val="22"/>
        </w:rPr>
        <w:t>Pr</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gabaline</w:t>
      </w:r>
      <w:proofErr w:type="spellEnd"/>
      <w:r w:rsidRPr="00DC6E2D">
        <w:rPr>
          <w:rFonts w:ascii="Bryant-Naos" w:hAnsi="Bryant-Naos"/>
          <w:color w:val="595959" w:themeColor="text1" w:themeTint="A6"/>
          <w:sz w:val="22"/>
          <w:szCs w:val="22"/>
        </w:rPr>
        <w:t>) n</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cessitent une titration progressive.</w:t>
      </w:r>
      <w:r w:rsidRPr="00DC6E2D">
        <w:rPr>
          <w:rFonts w:ascii="Bryant-Naos" w:hAnsi="Bryant-Naos"/>
          <w:color w:val="595959" w:themeColor="text1" w:themeTint="A6"/>
          <w:sz w:val="22"/>
          <w:szCs w:val="22"/>
        </w:rPr>
        <w:br/>
        <w:t>Les psychotropes incluent les ISRS et l'hydroxyzine.</w:t>
      </w:r>
      <w:r w:rsidRPr="00DC6E2D">
        <w:rPr>
          <w:rFonts w:ascii="Bryant-Naos" w:hAnsi="Bryant-Naos"/>
          <w:color w:val="595959" w:themeColor="text1" w:themeTint="A6"/>
          <w:sz w:val="22"/>
          <w:szCs w:val="22"/>
        </w:rPr>
        <w:br/>
        <w:t>La phototh</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rapie (PUVA, UVB) demeure une option valid</w:t>
      </w:r>
      <w:r w:rsidRPr="00DC6E2D">
        <w:rPr>
          <w:rFonts w:ascii="Bryant-Naos" w:hAnsi="Bryant-Naos" w:cs="Bryant-Naos"/>
          <w:color w:val="595959" w:themeColor="text1" w:themeTint="A6"/>
          <w:sz w:val="22"/>
          <w:szCs w:val="22"/>
        </w:rPr>
        <w:t>é</w:t>
      </w:r>
      <w:r w:rsidRPr="00DC6E2D">
        <w:rPr>
          <w:rFonts w:ascii="Bryant-Naos" w:hAnsi="Bryant-Naos"/>
          <w:color w:val="595959" w:themeColor="text1" w:themeTint="A6"/>
          <w:sz w:val="22"/>
          <w:szCs w:val="22"/>
        </w:rPr>
        <w:t>e. Dans le prurit cholestatique, les inhibiteurs IBAT et les agonistes PPAR-alpha ont relégué la cholestyramine au second plan. </w:t>
      </w:r>
    </w:p>
    <w:p w14:paraId="7175BBC6"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t xml:space="preserve">Les thérapies non médicamenteuses comprennent l'acupuncture, diverses psychothérapies (éducation thérapeutique démontrant son efficacité dans la dermatite </w:t>
      </w:r>
      <w:proofErr w:type="spellStart"/>
      <w:r w:rsidRPr="00DC6E2D">
        <w:rPr>
          <w:rFonts w:ascii="Bryant-Naos" w:hAnsi="Bryant-Naos"/>
          <w:color w:val="595959" w:themeColor="text1" w:themeTint="A6"/>
          <w:sz w:val="22"/>
          <w:szCs w:val="22"/>
        </w:rPr>
        <w:t>atopique</w:t>
      </w:r>
      <w:proofErr w:type="spellEnd"/>
      <w:r w:rsidRPr="00DC6E2D">
        <w:rPr>
          <w:rFonts w:ascii="Bryant-Naos" w:hAnsi="Bryant-Naos"/>
          <w:color w:val="595959" w:themeColor="text1" w:themeTint="A6"/>
          <w:sz w:val="22"/>
          <w:szCs w:val="22"/>
        </w:rPr>
        <w:t>, thérapies cognitivo- comportementales réduisant le grattage, hypnose, méditation) et la musicothérapie.</w:t>
      </w:r>
    </w:p>
    <w:p w14:paraId="4CB181A8" w14:textId="77777777" w:rsidR="00DC6E2D" w:rsidRPr="00DC6E2D" w:rsidRDefault="00DC6E2D" w:rsidP="00DC6E2D">
      <w:pPr>
        <w:rPr>
          <w:rFonts w:ascii="Bryant-Naos" w:hAnsi="Bryant-Naos"/>
          <w:color w:val="595959" w:themeColor="text1" w:themeTint="A6"/>
          <w:sz w:val="22"/>
          <w:szCs w:val="22"/>
        </w:rPr>
      </w:pPr>
      <w:r w:rsidRPr="00DC6E2D">
        <w:rPr>
          <w:rFonts w:ascii="Bryant-Naos" w:hAnsi="Bryant-Naos"/>
          <w:color w:val="595959" w:themeColor="text1" w:themeTint="A6"/>
          <w:sz w:val="22"/>
          <w:szCs w:val="22"/>
        </w:rPr>
        <w:lastRenderedPageBreak/>
        <w:br/>
        <w:t>Le domaine thérapeutique du prurit est actuellement en plein développement avec l'émergence de nombreuses molécules innovantes.</w:t>
      </w:r>
    </w:p>
    <w:p w14:paraId="09B20BDA" w14:textId="77777777" w:rsidR="00DC6E2D" w:rsidRPr="00BB0D12" w:rsidRDefault="00DC6E2D">
      <w:pPr>
        <w:rPr>
          <w:rFonts w:ascii="Bryant-Naos" w:hAnsi="Bryant-Naos"/>
          <w:color w:val="595959" w:themeColor="text1" w:themeTint="A6"/>
          <w:sz w:val="22"/>
          <w:szCs w:val="22"/>
        </w:rPr>
      </w:pPr>
    </w:p>
    <w:sectPr w:rsidR="00DC6E2D" w:rsidRPr="00BB0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yant-Naos Bold">
    <w:panose1 w:val="00000500000000000000"/>
    <w:charset w:val="00"/>
    <w:family w:val="modern"/>
    <w:notTrueType/>
    <w:pitch w:val="variable"/>
    <w:sig w:usb0="00000007" w:usb1="00000000" w:usb2="00000000" w:usb3="00000000" w:csb0="00000093" w:csb1="00000000"/>
  </w:font>
  <w:font w:name="Bryant-Naos">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2D"/>
    <w:rsid w:val="009D11E3"/>
    <w:rsid w:val="00BB0D12"/>
    <w:rsid w:val="00DC6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CACE"/>
  <w15:chartTrackingRefBased/>
  <w15:docId w15:val="{E8DDE0AD-A213-4D15-AD64-17CB326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6E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6E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6E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6E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E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E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E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E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6E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6E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6E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6E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6E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E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E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E2D"/>
    <w:rPr>
      <w:rFonts w:eastAsiaTheme="majorEastAsia" w:cstheme="majorBidi"/>
      <w:color w:val="272727" w:themeColor="text1" w:themeTint="D8"/>
    </w:rPr>
  </w:style>
  <w:style w:type="paragraph" w:styleId="Titre">
    <w:name w:val="Title"/>
    <w:basedOn w:val="Normal"/>
    <w:next w:val="Normal"/>
    <w:link w:val="TitreCar"/>
    <w:uiPriority w:val="10"/>
    <w:qFormat/>
    <w:rsid w:val="00D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E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E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E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E2D"/>
    <w:pPr>
      <w:spacing w:before="160"/>
      <w:jc w:val="center"/>
    </w:pPr>
    <w:rPr>
      <w:i/>
      <w:iCs/>
      <w:color w:val="404040" w:themeColor="text1" w:themeTint="BF"/>
    </w:rPr>
  </w:style>
  <w:style w:type="character" w:customStyle="1" w:styleId="CitationCar">
    <w:name w:val="Citation Car"/>
    <w:basedOn w:val="Policepardfaut"/>
    <w:link w:val="Citation"/>
    <w:uiPriority w:val="29"/>
    <w:rsid w:val="00DC6E2D"/>
    <w:rPr>
      <w:i/>
      <w:iCs/>
      <w:color w:val="404040" w:themeColor="text1" w:themeTint="BF"/>
    </w:rPr>
  </w:style>
  <w:style w:type="paragraph" w:styleId="Paragraphedeliste">
    <w:name w:val="List Paragraph"/>
    <w:basedOn w:val="Normal"/>
    <w:uiPriority w:val="34"/>
    <w:qFormat/>
    <w:rsid w:val="00DC6E2D"/>
    <w:pPr>
      <w:ind w:left="720"/>
      <w:contextualSpacing/>
    </w:pPr>
  </w:style>
  <w:style w:type="character" w:styleId="Accentuationintense">
    <w:name w:val="Intense Emphasis"/>
    <w:basedOn w:val="Policepardfaut"/>
    <w:uiPriority w:val="21"/>
    <w:qFormat/>
    <w:rsid w:val="00DC6E2D"/>
    <w:rPr>
      <w:i/>
      <w:iCs/>
      <w:color w:val="0F4761" w:themeColor="accent1" w:themeShade="BF"/>
    </w:rPr>
  </w:style>
  <w:style w:type="paragraph" w:styleId="Citationintense">
    <w:name w:val="Intense Quote"/>
    <w:basedOn w:val="Normal"/>
    <w:next w:val="Normal"/>
    <w:link w:val="CitationintenseCar"/>
    <w:uiPriority w:val="30"/>
    <w:qFormat/>
    <w:rsid w:val="00DC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6E2D"/>
    <w:rPr>
      <w:i/>
      <w:iCs/>
      <w:color w:val="0F4761" w:themeColor="accent1" w:themeShade="BF"/>
    </w:rPr>
  </w:style>
  <w:style w:type="character" w:styleId="Rfrenceintense">
    <w:name w:val="Intense Reference"/>
    <w:basedOn w:val="Policepardfaut"/>
    <w:uiPriority w:val="32"/>
    <w:qFormat/>
    <w:rsid w:val="00DC6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3432</Words>
  <Characters>18881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POMIES Mathilde</dc:creator>
  <cp:keywords/>
  <dc:description/>
  <cp:lastModifiedBy>POMIES Mathilde</cp:lastModifiedBy>
  <cp:revision>2</cp:revision>
  <dcterms:created xsi:type="dcterms:W3CDTF">2026-02-09T12:59:00Z</dcterms:created>
  <dcterms:modified xsi:type="dcterms:W3CDTF">2026-02-09T13:19:00Z</dcterms:modified>
</cp:coreProperties>
</file>